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B3" w:rsidRDefault="008F4A0E" w:rsidP="009149E8">
      <w:pPr>
        <w:rPr>
          <w:highlight w:val="yellow"/>
        </w:rPr>
      </w:pPr>
      <w:r>
        <w:rPr>
          <w:noProof/>
          <w:lang w:eastAsia="nb-NO"/>
        </w:rPr>
        <w:drawing>
          <wp:anchor distT="0" distB="0" distL="114300" distR="114300" simplePos="0" relativeHeight="251572223" behindDoc="0" locked="0" layoutInCell="1" allowOverlap="1">
            <wp:simplePos x="0" y="0"/>
            <wp:positionH relativeFrom="column">
              <wp:posOffset>-958521</wp:posOffset>
            </wp:positionH>
            <wp:positionV relativeFrom="paragraph">
              <wp:posOffset>-887326</wp:posOffset>
            </wp:positionV>
            <wp:extent cx="7653970" cy="6269883"/>
            <wp:effectExtent l="0" t="0" r="444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yfjord norgeibild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1" b="22611"/>
                    <a:stretch/>
                  </pic:blipFill>
                  <pic:spPr bwMode="auto">
                    <a:xfrm>
                      <a:off x="0" y="0"/>
                      <a:ext cx="7653970" cy="6269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98E" w:rsidRPr="0046198E">
        <w:t xml:space="preserve"> </w:t>
      </w: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  <w:bookmarkStart w:id="0" w:name="_Ref44055732"/>
      <w:bookmarkStart w:id="1" w:name="_Ref44055738"/>
      <w:bookmarkStart w:id="2" w:name="_Ref44055742"/>
      <w:bookmarkStart w:id="3" w:name="_Ref44055745"/>
      <w:bookmarkStart w:id="4" w:name="_Ref44055755"/>
      <w:bookmarkStart w:id="5" w:name="_Toc89958572"/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8F4A0E" w:rsidRDefault="008F4A0E" w:rsidP="00141B39">
      <w:pPr>
        <w:pStyle w:val="Overskrift1"/>
        <w:numPr>
          <w:ilvl w:val="0"/>
          <w:numId w:val="0"/>
        </w:numPr>
        <w:spacing w:before="120" w:after="120"/>
      </w:pPr>
    </w:p>
    <w:p w:rsidR="00B523DB" w:rsidRDefault="00B523DB" w:rsidP="00B523DB"/>
    <w:p w:rsidR="00B523DB" w:rsidRPr="00B523DB" w:rsidRDefault="00B523DB" w:rsidP="00B523DB">
      <w:pPr>
        <w:rPr>
          <w:sz w:val="8"/>
        </w:rPr>
      </w:pPr>
    </w:p>
    <w:p w:rsidR="008F4A0E" w:rsidRDefault="00423E1B" w:rsidP="00B523DB">
      <w:r w:rsidRPr="008378D2">
        <w:rPr>
          <w:color w:val="00B050"/>
          <w:sz w:val="20"/>
        </w:rPr>
        <w:t>Vedtatt av kommunestyret i sak 31/23, 21. juni 2023</w:t>
      </w:r>
      <w:bookmarkStart w:id="6" w:name="_GoBack"/>
      <w:bookmarkEnd w:id="6"/>
    </w:p>
    <w:p w:rsidR="00B523DB" w:rsidRDefault="00B523DB" w:rsidP="00B523DB"/>
    <w:p w:rsidR="009149E8" w:rsidRDefault="009149E8" w:rsidP="00B523DB"/>
    <w:tbl>
      <w:tblPr>
        <w:tblStyle w:val="Tabellrutenet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9617CA" w:rsidTr="002408FB">
        <w:trPr>
          <w:trHeight w:val="906"/>
        </w:trPr>
        <w:tc>
          <w:tcPr>
            <w:tcW w:w="1555" w:type="dxa"/>
            <w:vMerge w:val="restart"/>
            <w:vAlign w:val="bottom"/>
          </w:tcPr>
          <w:p w:rsidR="009617CA" w:rsidRDefault="009617CA" w:rsidP="00721000">
            <w:pPr>
              <w:jc w:val="center"/>
            </w:pPr>
            <w:bookmarkStart w:id="7" w:name="_Toc45787645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noProof/>
                <w:lang w:eastAsia="nb-NO"/>
              </w:rPr>
              <w:drawing>
                <wp:inline distT="0" distB="0" distL="0" distR="0" wp14:anchorId="336F0590" wp14:editId="45352779">
                  <wp:extent cx="558140" cy="697677"/>
                  <wp:effectExtent l="0" t="0" r="0" b="762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besby-logo 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84" cy="73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7CA" w:rsidRDefault="009617CA" w:rsidP="00721000">
            <w:pPr>
              <w:jc w:val="center"/>
            </w:pPr>
          </w:p>
          <w:p w:rsidR="009617CA" w:rsidRDefault="009617CA" w:rsidP="00721000">
            <w:pPr>
              <w:jc w:val="center"/>
            </w:pPr>
            <w:r>
              <w:t>Lebesby kommune</w:t>
            </w:r>
          </w:p>
        </w:tc>
        <w:tc>
          <w:tcPr>
            <w:tcW w:w="7512" w:type="dxa"/>
          </w:tcPr>
          <w:p w:rsidR="0040602B" w:rsidRPr="0040602B" w:rsidRDefault="009617CA" w:rsidP="00632210">
            <w:pPr>
              <w:pStyle w:val="Overskrift1"/>
              <w:numPr>
                <w:ilvl w:val="0"/>
                <w:numId w:val="0"/>
              </w:numPr>
              <w:jc w:val="right"/>
              <w:outlineLvl w:val="0"/>
            </w:pPr>
            <w:r>
              <w:t>Detaljregulering Øverbygda boligfelt PlanID 202201</w:t>
            </w:r>
          </w:p>
        </w:tc>
      </w:tr>
      <w:tr w:rsidR="009617CA" w:rsidTr="002408FB">
        <w:trPr>
          <w:trHeight w:val="735"/>
        </w:trPr>
        <w:tc>
          <w:tcPr>
            <w:tcW w:w="1555" w:type="dxa"/>
            <w:vMerge/>
          </w:tcPr>
          <w:p w:rsidR="009617CA" w:rsidRDefault="009617CA" w:rsidP="00721000">
            <w:pPr>
              <w:jc w:val="center"/>
            </w:pPr>
          </w:p>
        </w:tc>
        <w:tc>
          <w:tcPr>
            <w:tcW w:w="7512" w:type="dxa"/>
            <w:vAlign w:val="bottom"/>
          </w:tcPr>
          <w:p w:rsidR="009617CA" w:rsidRDefault="009617CA" w:rsidP="00721000">
            <w:pPr>
              <w:jc w:val="right"/>
            </w:pPr>
            <w:r w:rsidRPr="008F4A0E">
              <w:rPr>
                <w:color w:val="1F3864" w:themeColor="accent5" w:themeShade="80"/>
                <w:sz w:val="48"/>
              </w:rPr>
              <w:t>ROS-analyse</w:t>
            </w:r>
          </w:p>
        </w:tc>
      </w:tr>
      <w:tr w:rsidR="009617CA" w:rsidTr="002408FB">
        <w:tc>
          <w:tcPr>
            <w:tcW w:w="1555" w:type="dxa"/>
            <w:vMerge/>
          </w:tcPr>
          <w:p w:rsidR="009617CA" w:rsidRDefault="009617CA" w:rsidP="00721000"/>
        </w:tc>
        <w:tc>
          <w:tcPr>
            <w:tcW w:w="7512" w:type="dxa"/>
            <w:vAlign w:val="bottom"/>
          </w:tcPr>
          <w:p w:rsidR="009617CA" w:rsidRDefault="009617CA" w:rsidP="00721000">
            <w:pPr>
              <w:jc w:val="right"/>
            </w:pPr>
            <w:r w:rsidRPr="00632210">
              <w:rPr>
                <w:color w:val="1F3864" w:themeColor="accent5" w:themeShade="80"/>
                <w:sz w:val="36"/>
              </w:rPr>
              <w:t>Vedlegg 2 til planbeskrivelse</w:t>
            </w:r>
          </w:p>
        </w:tc>
      </w:tr>
    </w:tbl>
    <w:p w:rsidR="008E2662" w:rsidRDefault="008E2662" w:rsidP="00B956DE">
      <w:pPr>
        <w:pStyle w:val="Overskriftforinnholdsfortegnelse"/>
        <w:numPr>
          <w:ilvl w:val="0"/>
          <w:numId w:val="0"/>
        </w:numPr>
      </w:pPr>
    </w:p>
    <w:p w:rsidR="008E2662" w:rsidRDefault="008E266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nb-NO"/>
        </w:rPr>
      </w:pPr>
      <w:r>
        <w:br w:type="page"/>
      </w:r>
    </w:p>
    <w:p w:rsidR="008E65F4" w:rsidRDefault="00E046C9" w:rsidP="00B956DE">
      <w:pPr>
        <w:pStyle w:val="Overskriftforinnholdsfortegnelse"/>
        <w:numPr>
          <w:ilvl w:val="0"/>
          <w:numId w:val="0"/>
        </w:numPr>
      </w:pPr>
      <w:r>
        <w:lastRenderedPageBreak/>
        <w:t>Innhold</w:t>
      </w:r>
    </w:p>
    <w:p w:rsidR="00E046C9" w:rsidRDefault="00E046C9" w:rsidP="008E65F4"/>
    <w:p w:rsidR="00CB5B38" w:rsidRDefault="00E046C9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r>
        <w:fldChar w:fldCharType="begin"/>
      </w:r>
      <w:r>
        <w:instrText xml:space="preserve"> TOC \b InnholdROS \* MERGEFORMAT  \* MERGEFORMAT </w:instrText>
      </w:r>
      <w:r>
        <w:fldChar w:fldCharType="separate"/>
      </w:r>
      <w:r w:rsidR="00CB5B38">
        <w:rPr>
          <w:noProof/>
        </w:rPr>
        <w:t>1.</w:t>
      </w:r>
      <w:r w:rsidR="00CB5B38">
        <w:rPr>
          <w:rFonts w:asciiTheme="minorHAnsi" w:eastAsiaTheme="minorEastAsia" w:hAnsiTheme="minorHAnsi"/>
          <w:noProof/>
          <w:lang w:eastAsia="nb-NO"/>
        </w:rPr>
        <w:tab/>
      </w:r>
      <w:r w:rsidR="00CB5B38">
        <w:rPr>
          <w:noProof/>
        </w:rPr>
        <w:t>Innledning</w:t>
      </w:r>
      <w:r w:rsidR="00CB5B38">
        <w:rPr>
          <w:noProof/>
        </w:rPr>
        <w:tab/>
      </w:r>
      <w:r w:rsidR="00CB5B38">
        <w:rPr>
          <w:noProof/>
        </w:rPr>
        <w:fldChar w:fldCharType="begin"/>
      </w:r>
      <w:r w:rsidR="00CB5B38">
        <w:rPr>
          <w:noProof/>
        </w:rPr>
        <w:instrText xml:space="preserve"> PAGEREF _Toc127776299 \h </w:instrText>
      </w:r>
      <w:r w:rsidR="00CB5B38">
        <w:rPr>
          <w:noProof/>
        </w:rPr>
      </w:r>
      <w:r w:rsidR="00CB5B38">
        <w:rPr>
          <w:noProof/>
        </w:rPr>
        <w:fldChar w:fldCharType="separate"/>
      </w:r>
      <w:r w:rsidR="001C4823">
        <w:rPr>
          <w:noProof/>
        </w:rPr>
        <w:t>3</w:t>
      </w:r>
      <w:r w:rsidR="00CB5B38">
        <w:rPr>
          <w:noProof/>
        </w:rPr>
        <w:fldChar w:fldCharType="end"/>
      </w:r>
    </w:p>
    <w:p w:rsidR="00CB5B38" w:rsidRDefault="00CB5B38">
      <w:pPr>
        <w:pStyle w:val="INNH2"/>
        <w:rPr>
          <w:rFonts w:asciiTheme="minorHAnsi" w:eastAsiaTheme="minorEastAsia" w:hAnsiTheme="minorHAnsi"/>
          <w:noProof/>
          <w:lang w:eastAsia="nb-NO"/>
        </w:rPr>
      </w:pPr>
      <w:r>
        <w:rPr>
          <w:noProof/>
        </w:rPr>
        <w:t>1.1.</w:t>
      </w:r>
      <w:r>
        <w:rPr>
          <w:rFonts w:asciiTheme="minorHAnsi" w:eastAsiaTheme="minorEastAsia" w:hAnsiTheme="minorHAnsi"/>
          <w:noProof/>
          <w:lang w:eastAsia="nb-NO"/>
        </w:rPr>
        <w:tab/>
      </w:r>
      <w:r>
        <w:rPr>
          <w:noProof/>
        </w:rPr>
        <w:t>Planområdet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_Toc127776300 \h </w:instrText>
      </w:r>
      <w:r>
        <w:rPr>
          <w:noProof/>
        </w:rPr>
      </w:r>
      <w:r>
        <w:rPr>
          <w:noProof/>
        </w:rPr>
        <w:fldChar w:fldCharType="separate"/>
      </w:r>
      <w:r w:rsidR="001C4823">
        <w:rPr>
          <w:noProof/>
        </w:rPr>
        <w:t>3</w:t>
      </w:r>
      <w:r>
        <w:rPr>
          <w:noProof/>
        </w:rPr>
        <w:fldChar w:fldCharType="end"/>
      </w:r>
    </w:p>
    <w:p w:rsidR="00CB5B38" w:rsidRDefault="00CB5B38">
      <w:pPr>
        <w:pStyle w:val="INNH2"/>
        <w:rPr>
          <w:rFonts w:asciiTheme="minorHAnsi" w:eastAsiaTheme="minorEastAsia" w:hAnsiTheme="minorHAnsi"/>
          <w:noProof/>
          <w:lang w:eastAsia="nb-NO"/>
        </w:rPr>
      </w:pPr>
      <w:r>
        <w:rPr>
          <w:noProof/>
        </w:rPr>
        <w:t>1.2.</w:t>
      </w:r>
      <w:r>
        <w:rPr>
          <w:rFonts w:asciiTheme="minorHAnsi" w:eastAsiaTheme="minorEastAsia" w:hAnsiTheme="minorHAnsi"/>
          <w:noProof/>
          <w:lang w:eastAsia="nb-NO"/>
        </w:rPr>
        <w:tab/>
      </w:r>
      <w:r>
        <w:rPr>
          <w:noProof/>
        </w:rPr>
        <w:t>Metode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_Toc127776301 \h </w:instrText>
      </w:r>
      <w:r>
        <w:rPr>
          <w:noProof/>
        </w:rPr>
      </w:r>
      <w:r>
        <w:rPr>
          <w:noProof/>
        </w:rPr>
        <w:fldChar w:fldCharType="separate"/>
      </w:r>
      <w:r w:rsidR="001C4823">
        <w:rPr>
          <w:noProof/>
        </w:rPr>
        <w:t>3</w:t>
      </w:r>
      <w:r>
        <w:rPr>
          <w:noProof/>
        </w:rPr>
        <w:fldChar w:fldCharType="end"/>
      </w:r>
    </w:p>
    <w:p w:rsidR="00CB5B38" w:rsidRDefault="00CB5B38">
      <w:pPr>
        <w:pStyle w:val="INNH3"/>
        <w:tabs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r>
        <w:rPr>
          <w:noProof/>
        </w:rPr>
        <w:t>Sannsynlighet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_Toc127776302 \h </w:instrText>
      </w:r>
      <w:r>
        <w:rPr>
          <w:noProof/>
        </w:rPr>
      </w:r>
      <w:r>
        <w:rPr>
          <w:noProof/>
        </w:rPr>
        <w:fldChar w:fldCharType="separate"/>
      </w:r>
      <w:r w:rsidR="001C4823">
        <w:rPr>
          <w:noProof/>
        </w:rPr>
        <w:t>3</w:t>
      </w:r>
      <w:r>
        <w:rPr>
          <w:noProof/>
        </w:rPr>
        <w:fldChar w:fldCharType="end"/>
      </w:r>
    </w:p>
    <w:p w:rsidR="00CB5B38" w:rsidRDefault="00CB5B38">
      <w:pPr>
        <w:pStyle w:val="INNH3"/>
        <w:tabs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r>
        <w:rPr>
          <w:noProof/>
        </w:rPr>
        <w:t>Konsekvens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_Toc127776303 \h </w:instrText>
      </w:r>
      <w:r>
        <w:rPr>
          <w:noProof/>
        </w:rPr>
      </w:r>
      <w:r>
        <w:rPr>
          <w:noProof/>
        </w:rPr>
        <w:fldChar w:fldCharType="separate"/>
      </w:r>
      <w:r w:rsidR="001C4823">
        <w:rPr>
          <w:noProof/>
        </w:rPr>
        <w:t>4</w:t>
      </w:r>
      <w:r>
        <w:rPr>
          <w:noProof/>
        </w:rPr>
        <w:fldChar w:fldCharType="end"/>
      </w:r>
    </w:p>
    <w:p w:rsidR="00CB5B38" w:rsidRDefault="00CB5B38">
      <w:pPr>
        <w:pStyle w:val="INNH2"/>
        <w:rPr>
          <w:rFonts w:asciiTheme="minorHAnsi" w:eastAsiaTheme="minorEastAsia" w:hAnsiTheme="minorHAnsi"/>
          <w:noProof/>
          <w:lang w:eastAsia="nb-NO"/>
        </w:rPr>
      </w:pPr>
      <w:r>
        <w:rPr>
          <w:noProof/>
        </w:rPr>
        <w:t>1.3.</w:t>
      </w:r>
      <w:r>
        <w:rPr>
          <w:rFonts w:asciiTheme="minorHAnsi" w:eastAsiaTheme="minorEastAsia" w:hAnsiTheme="minorHAnsi"/>
          <w:noProof/>
          <w:lang w:eastAsia="nb-NO"/>
        </w:rPr>
        <w:tab/>
      </w:r>
      <w:r>
        <w:rPr>
          <w:noProof/>
        </w:rPr>
        <w:t>Usikkerhet i ROS-analysen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_Toc127776304 \h </w:instrText>
      </w:r>
      <w:r>
        <w:rPr>
          <w:noProof/>
        </w:rPr>
      </w:r>
      <w:r>
        <w:rPr>
          <w:noProof/>
        </w:rPr>
        <w:fldChar w:fldCharType="separate"/>
      </w:r>
      <w:r w:rsidR="001C4823">
        <w:rPr>
          <w:noProof/>
        </w:rPr>
        <w:t>4</w:t>
      </w:r>
      <w:r>
        <w:rPr>
          <w:noProof/>
        </w:rPr>
        <w:fldChar w:fldCharType="end"/>
      </w:r>
    </w:p>
    <w:p w:rsidR="00CB5B38" w:rsidRDefault="00CB5B38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noProof/>
          <w:lang w:eastAsia="nb-NO"/>
        </w:rPr>
        <w:tab/>
      </w:r>
      <w:r>
        <w:rPr>
          <w:noProof/>
        </w:rPr>
        <w:t>Risiko- og sårbarhetsanalyse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_Toc127776305 \h </w:instrText>
      </w:r>
      <w:r>
        <w:rPr>
          <w:noProof/>
        </w:rPr>
      </w:r>
      <w:r>
        <w:rPr>
          <w:noProof/>
        </w:rPr>
        <w:fldChar w:fldCharType="separate"/>
      </w:r>
      <w:r w:rsidR="001C4823">
        <w:rPr>
          <w:noProof/>
        </w:rPr>
        <w:t>5</w:t>
      </w:r>
      <w:r>
        <w:rPr>
          <w:noProof/>
        </w:rPr>
        <w:fldChar w:fldCharType="end"/>
      </w:r>
    </w:p>
    <w:p w:rsidR="00CB5B38" w:rsidRDefault="00CB5B38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noProof/>
          <w:lang w:eastAsia="nb-NO"/>
        </w:rPr>
        <w:tab/>
      </w:r>
      <w:r>
        <w:rPr>
          <w:noProof/>
        </w:rPr>
        <w:t>Konklusjon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_Toc127776306 \h </w:instrText>
      </w:r>
      <w:r>
        <w:rPr>
          <w:noProof/>
        </w:rPr>
      </w:r>
      <w:r>
        <w:rPr>
          <w:noProof/>
        </w:rPr>
        <w:fldChar w:fldCharType="separate"/>
      </w:r>
      <w:r w:rsidR="001C4823">
        <w:rPr>
          <w:noProof/>
        </w:rPr>
        <w:t>10</w:t>
      </w:r>
      <w:r>
        <w:rPr>
          <w:noProof/>
        </w:rPr>
        <w:fldChar w:fldCharType="end"/>
      </w:r>
    </w:p>
    <w:p w:rsidR="00CB5B38" w:rsidRDefault="00CB5B38">
      <w:pPr>
        <w:pStyle w:val="INNH1"/>
        <w:tabs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r>
        <w:rPr>
          <w:noProof/>
        </w:rPr>
        <w:t>Litteraturliste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_Toc127776307 \h </w:instrText>
      </w:r>
      <w:r>
        <w:rPr>
          <w:noProof/>
        </w:rPr>
      </w:r>
      <w:r>
        <w:rPr>
          <w:noProof/>
        </w:rPr>
        <w:fldChar w:fldCharType="separate"/>
      </w:r>
      <w:r w:rsidR="001C4823">
        <w:rPr>
          <w:noProof/>
        </w:rPr>
        <w:t>11</w:t>
      </w:r>
      <w:r>
        <w:rPr>
          <w:noProof/>
        </w:rPr>
        <w:fldChar w:fldCharType="end"/>
      </w:r>
    </w:p>
    <w:p w:rsidR="001C49EE" w:rsidRDefault="00E046C9" w:rsidP="00E046C9">
      <w:pPr>
        <w:ind w:left="431" w:hanging="431"/>
      </w:pPr>
      <w:r>
        <w:fldChar w:fldCharType="end"/>
      </w:r>
    </w:p>
    <w:p w:rsidR="001C49EE" w:rsidRDefault="001C49EE" w:rsidP="00E046C9">
      <w:pPr>
        <w:ind w:left="431" w:hanging="431"/>
      </w:pPr>
    </w:p>
    <w:p w:rsidR="001C49EE" w:rsidRDefault="001C49EE" w:rsidP="00E046C9">
      <w:pPr>
        <w:ind w:left="431" w:hanging="431"/>
      </w:pPr>
    </w:p>
    <w:p w:rsidR="001C49EE" w:rsidRDefault="001C49EE" w:rsidP="00E046C9">
      <w:pPr>
        <w:ind w:left="431" w:hanging="431"/>
      </w:pPr>
    </w:p>
    <w:p w:rsidR="001C49EE" w:rsidRDefault="001C49EE" w:rsidP="00E046C9">
      <w:pPr>
        <w:ind w:left="431" w:hanging="431"/>
      </w:pPr>
    </w:p>
    <w:p w:rsidR="008E65F4" w:rsidRDefault="008E65F4" w:rsidP="00E046C9">
      <w:pPr>
        <w:ind w:left="431" w:hanging="43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E65F4" w:rsidRDefault="008E65F4" w:rsidP="0043796F">
      <w:pPr>
        <w:pStyle w:val="Overskrift1"/>
        <w:numPr>
          <w:ilvl w:val="0"/>
          <w:numId w:val="5"/>
        </w:numPr>
        <w:spacing w:after="240" w:line="240" w:lineRule="auto"/>
        <w:ind w:left="357" w:hanging="357"/>
      </w:pPr>
      <w:bookmarkStart w:id="8" w:name="_Toc57983038"/>
      <w:bookmarkStart w:id="9" w:name="_Toc60748472"/>
      <w:bookmarkStart w:id="10" w:name="_Toc89958574"/>
      <w:bookmarkStart w:id="11" w:name="_Toc127776299"/>
      <w:bookmarkStart w:id="12" w:name="innholdROS"/>
      <w:r>
        <w:lastRenderedPageBreak/>
        <w:t>Innledning</w:t>
      </w:r>
      <w:bookmarkEnd w:id="7"/>
      <w:bookmarkEnd w:id="8"/>
      <w:bookmarkEnd w:id="9"/>
      <w:bookmarkEnd w:id="10"/>
      <w:bookmarkEnd w:id="11"/>
    </w:p>
    <w:p w:rsidR="008E65F4" w:rsidRPr="00C34E6D" w:rsidRDefault="008E65F4" w:rsidP="008E65F4">
      <w:pPr>
        <w:rPr>
          <w:rFonts w:asciiTheme="majorHAnsi" w:hAnsiTheme="majorHAnsi" w:cstheme="majorHAnsi"/>
        </w:rPr>
      </w:pPr>
      <w:r w:rsidRPr="00C34E6D">
        <w:rPr>
          <w:rFonts w:asciiTheme="majorHAnsi" w:hAnsiTheme="majorHAnsi" w:cstheme="majorHAnsi"/>
        </w:rPr>
        <w:t xml:space="preserve">Ved utarbeidelse av planer for utbygging krever plan- og bygningsloven at det gjøres en risiko- og sårbarhetsanalyse for planområdet (jf. </w:t>
      </w:r>
      <w:r w:rsidR="0011577E">
        <w:rPr>
          <w:rFonts w:asciiTheme="majorHAnsi" w:hAnsiTheme="majorHAnsi" w:cstheme="majorHAnsi"/>
        </w:rPr>
        <w:t xml:space="preserve">PBL </w:t>
      </w:r>
      <w:r w:rsidRPr="00C34E6D">
        <w:rPr>
          <w:rFonts w:asciiTheme="majorHAnsi" w:hAnsiTheme="majorHAnsi" w:cstheme="majorHAnsi"/>
        </w:rPr>
        <w:t xml:space="preserve">§ 4-3). </w:t>
      </w:r>
      <w:r>
        <w:rPr>
          <w:rFonts w:asciiTheme="majorHAnsi" w:hAnsiTheme="majorHAnsi" w:cstheme="majorHAnsi"/>
        </w:rPr>
        <w:t>Analysen er et viktig kunnskapsgrunnlag for å unngå at arealdisponering skaper ny eller økt risiko og sårbarhet. ROS-a</w:t>
      </w:r>
      <w:r w:rsidRPr="00C34E6D">
        <w:rPr>
          <w:rFonts w:asciiTheme="majorHAnsi" w:hAnsiTheme="majorHAnsi" w:cstheme="majorHAnsi"/>
        </w:rPr>
        <w:t xml:space="preserve">nalysen skal vise alle risiko- og sårbarhetsforhold som har betydning for om arealet </w:t>
      </w:r>
      <w:r>
        <w:rPr>
          <w:rFonts w:asciiTheme="majorHAnsi" w:hAnsiTheme="majorHAnsi" w:cstheme="majorHAnsi"/>
        </w:rPr>
        <w:t>egner seg for</w:t>
      </w:r>
      <w:r w:rsidRPr="00C34E6D">
        <w:rPr>
          <w:rFonts w:asciiTheme="majorHAnsi" w:hAnsiTheme="majorHAnsi" w:cstheme="majorHAnsi"/>
        </w:rPr>
        <w:t xml:space="preserve"> ønsket utbygging</w:t>
      </w:r>
      <w:r w:rsidR="00B35879">
        <w:rPr>
          <w:rFonts w:asciiTheme="majorHAnsi" w:hAnsiTheme="majorHAnsi" w:cstheme="majorHAnsi"/>
        </w:rPr>
        <w:t xml:space="preserve">. </w:t>
      </w:r>
      <w:r w:rsidRPr="00C34E6D">
        <w:rPr>
          <w:rFonts w:asciiTheme="majorHAnsi" w:hAnsiTheme="majorHAnsi" w:cstheme="majorHAnsi"/>
        </w:rPr>
        <w:t xml:space="preserve">Hensikten er å belyse forhold som kan føre til tap av liv eller alvorlig helseskade, </w:t>
      </w:r>
      <w:r>
        <w:rPr>
          <w:rFonts w:asciiTheme="majorHAnsi" w:hAnsiTheme="majorHAnsi" w:cstheme="majorHAnsi"/>
        </w:rPr>
        <w:t>utfall av</w:t>
      </w:r>
      <w:r w:rsidRPr="00C34E6D">
        <w:rPr>
          <w:rFonts w:asciiTheme="majorHAnsi" w:hAnsiTheme="majorHAnsi" w:cstheme="majorHAnsi"/>
        </w:rPr>
        <w:t xml:space="preserve"> viktige samfunnsfunksjoner og</w:t>
      </w:r>
      <w:r>
        <w:rPr>
          <w:rFonts w:asciiTheme="majorHAnsi" w:hAnsiTheme="majorHAnsi" w:cstheme="majorHAnsi"/>
        </w:rPr>
        <w:t>/eller</w:t>
      </w:r>
      <w:r w:rsidRPr="00C34E6D">
        <w:rPr>
          <w:rFonts w:asciiTheme="majorHAnsi" w:hAnsiTheme="majorHAnsi" w:cstheme="majorHAnsi"/>
        </w:rPr>
        <w:t xml:space="preserve"> tap av materielle verdier. Basert på funn i ROS-analysen gjøres de plangrep som er nødvendige for å </w:t>
      </w:r>
      <w:r>
        <w:rPr>
          <w:rFonts w:asciiTheme="majorHAnsi" w:hAnsiTheme="majorHAnsi" w:cstheme="majorHAnsi"/>
        </w:rPr>
        <w:t>redusere</w:t>
      </w:r>
      <w:r w:rsidRPr="00C34E6D">
        <w:rPr>
          <w:rFonts w:asciiTheme="majorHAnsi" w:hAnsiTheme="majorHAnsi" w:cstheme="majorHAnsi"/>
        </w:rPr>
        <w:t xml:space="preserve"> risiko</w:t>
      </w:r>
      <w:r>
        <w:rPr>
          <w:rFonts w:asciiTheme="majorHAnsi" w:hAnsiTheme="majorHAnsi" w:cstheme="majorHAnsi"/>
        </w:rPr>
        <w:t xml:space="preserve"> og sårbarhet til et akseptabelt nivå</w:t>
      </w:r>
      <w:r w:rsidRPr="00C34E6D">
        <w:rPr>
          <w:rFonts w:asciiTheme="majorHAnsi" w:hAnsiTheme="majorHAnsi" w:cstheme="majorHAnsi"/>
        </w:rPr>
        <w:t>.</w:t>
      </w:r>
    </w:p>
    <w:p w:rsidR="008E65F4" w:rsidRPr="0051198F" w:rsidRDefault="008E65F4" w:rsidP="00F76473">
      <w:pPr>
        <w:pStyle w:val="Overskrift2"/>
        <w:numPr>
          <w:ilvl w:val="1"/>
          <w:numId w:val="5"/>
        </w:numPr>
      </w:pPr>
      <w:bookmarkStart w:id="13" w:name="_Toc45787646"/>
      <w:bookmarkStart w:id="14" w:name="_Toc57983039"/>
      <w:bookmarkStart w:id="15" w:name="_Toc60748473"/>
      <w:bookmarkStart w:id="16" w:name="_Toc88659612"/>
      <w:bookmarkStart w:id="17" w:name="_Toc89950441"/>
      <w:bookmarkStart w:id="18" w:name="_Toc89958575"/>
      <w:bookmarkStart w:id="19" w:name="_Toc127776300"/>
      <w:r>
        <w:t>P</w:t>
      </w:r>
      <w:r w:rsidRPr="0051198F">
        <w:t>lanområdet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8E65F4" w:rsidRDefault="008E65F4" w:rsidP="008E65F4">
      <w:r>
        <w:t xml:space="preserve">Kommunens helhetlige ROS gir en overordnet beskrivelse av risiko- og sårbarhetsforhold i kommunen. </w:t>
      </w:r>
      <w:r w:rsidR="006A665A">
        <w:t xml:space="preserve">Verken Lebesby eller planområdet er nevnt spesifikt i denne analysen.   </w:t>
      </w:r>
      <w:r>
        <w:t xml:space="preserve"> </w:t>
      </w:r>
    </w:p>
    <w:p w:rsidR="008E65F4" w:rsidRDefault="008E65F4" w:rsidP="008E65F4">
      <w:r>
        <w:t xml:space="preserve">Kommuneplanen (kpa) inneholder en overordnet ROS-analyse av nye byggeområder. Ettersom kpa ikke medførte endringer </w:t>
      </w:r>
      <w:r w:rsidR="001065A2">
        <w:t>i Øverbygda i Lebesby</w:t>
      </w:r>
      <w:r>
        <w:t xml:space="preserve">, inneholder ikke ROS-analysen </w:t>
      </w:r>
      <w:r w:rsidR="001065A2">
        <w:t>egne vurderinger av planområdet</w:t>
      </w:r>
      <w:r>
        <w:t>. Planbestemmelsene til kpa inneholder generelle krav knyttet til en rekke risiko og sårbarhetsforhold (bestemmelse 1.5.8): Flom og erosjon, støy, skred, geoteknikk og grunnforhold, havnivåstigning, elektromagnetisk stråling og ekstremvær. Disse kravene må følges opp i videre planlegging og byggesaker.</w:t>
      </w:r>
    </w:p>
    <w:p w:rsidR="008E65F4" w:rsidRDefault="008E65F4" w:rsidP="008E65F4">
      <w:pPr>
        <w:rPr>
          <w:rFonts w:asciiTheme="majorHAnsi" w:hAnsiTheme="majorHAnsi" w:cstheme="majorHAnsi"/>
        </w:rPr>
      </w:pPr>
      <w:r w:rsidRPr="0043626C">
        <w:rPr>
          <w:rFonts w:asciiTheme="majorHAnsi" w:hAnsiTheme="majorHAnsi" w:cstheme="majorHAnsi"/>
        </w:rPr>
        <w:t>Hele planområdet ligger under marin grense, som kan ha</w:t>
      </w:r>
      <w:r w:rsidR="001065A2" w:rsidRPr="0043626C">
        <w:rPr>
          <w:rFonts w:asciiTheme="majorHAnsi" w:hAnsiTheme="majorHAnsi" w:cstheme="majorHAnsi"/>
        </w:rPr>
        <w:t xml:space="preserve"> betydning for grunnforhold</w:t>
      </w:r>
      <w:r w:rsidR="00DA1002" w:rsidRPr="0043626C">
        <w:rPr>
          <w:rFonts w:asciiTheme="majorHAnsi" w:hAnsiTheme="majorHAnsi" w:cstheme="majorHAnsi"/>
        </w:rPr>
        <w:t>.</w:t>
      </w:r>
    </w:p>
    <w:p w:rsidR="008E65F4" w:rsidRPr="00C34E6D" w:rsidRDefault="008E65F4" w:rsidP="008E65F4">
      <w:pPr>
        <w:spacing w:before="120"/>
        <w:rPr>
          <w:rFonts w:asciiTheme="majorHAnsi" w:hAnsiTheme="majorHAnsi" w:cstheme="majorHAnsi"/>
        </w:rPr>
      </w:pPr>
      <w:r w:rsidRPr="00C34E6D">
        <w:rPr>
          <w:rFonts w:asciiTheme="majorHAnsi" w:hAnsiTheme="majorHAnsi" w:cstheme="majorHAnsi"/>
        </w:rPr>
        <w:t xml:space="preserve">Planområdets avgrensning er gitt i </w:t>
      </w:r>
      <w:r w:rsidRPr="002C555D">
        <w:rPr>
          <w:rFonts w:asciiTheme="majorHAnsi" w:hAnsiTheme="majorHAnsi" w:cstheme="majorHAnsi"/>
        </w:rPr>
        <w:t>kapittel</w:t>
      </w:r>
      <w:r w:rsidR="006C1128" w:rsidRPr="002C555D">
        <w:rPr>
          <w:rFonts w:asciiTheme="majorHAnsi" w:hAnsiTheme="majorHAnsi" w:cstheme="majorHAnsi"/>
        </w:rPr>
        <w:t xml:space="preserve"> </w:t>
      </w:r>
      <w:r w:rsidR="008D48BC" w:rsidRPr="002C555D">
        <w:rPr>
          <w:rFonts w:asciiTheme="majorHAnsi" w:hAnsiTheme="majorHAnsi" w:cstheme="majorHAnsi"/>
        </w:rPr>
        <w:t>1.2</w:t>
      </w:r>
      <w:r w:rsidR="006C1128" w:rsidRPr="002C555D">
        <w:rPr>
          <w:rFonts w:asciiTheme="majorHAnsi" w:hAnsiTheme="majorHAnsi" w:cstheme="majorHAnsi"/>
        </w:rPr>
        <w:t xml:space="preserve"> </w:t>
      </w:r>
      <w:r w:rsidRPr="002C555D">
        <w:rPr>
          <w:rFonts w:asciiTheme="majorHAnsi" w:hAnsiTheme="majorHAnsi" w:cstheme="majorHAnsi"/>
        </w:rPr>
        <w:t>i</w:t>
      </w:r>
      <w:r w:rsidRPr="00C34E6D">
        <w:rPr>
          <w:rFonts w:asciiTheme="majorHAnsi" w:hAnsiTheme="majorHAnsi" w:cstheme="majorHAnsi"/>
        </w:rPr>
        <w:t xml:space="preserve"> planbeskrivelsen.</w:t>
      </w:r>
    </w:p>
    <w:p w:rsidR="008E65F4" w:rsidRPr="0051198F" w:rsidRDefault="008E65F4" w:rsidP="00F76473">
      <w:pPr>
        <w:pStyle w:val="Overskrift2"/>
        <w:numPr>
          <w:ilvl w:val="1"/>
          <w:numId w:val="5"/>
        </w:numPr>
      </w:pPr>
      <w:bookmarkStart w:id="20" w:name="_Toc45787647"/>
      <w:bookmarkStart w:id="21" w:name="_Toc57983040"/>
      <w:bookmarkStart w:id="22" w:name="_Toc60748474"/>
      <w:bookmarkStart w:id="23" w:name="_Toc88659613"/>
      <w:bookmarkStart w:id="24" w:name="_Toc89950442"/>
      <w:bookmarkStart w:id="25" w:name="_Toc89958576"/>
      <w:bookmarkStart w:id="26" w:name="_Toc127776301"/>
      <w:r w:rsidRPr="0051198F">
        <w:t>Metode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8E65F4" w:rsidRDefault="008E65F4" w:rsidP="008E65F4">
      <w:r>
        <w:t xml:space="preserve">ROS-analysen er utført delvis med utgangspunkt i Direktoratet for samfunnssikkerhet og beredskaps veileder </w:t>
      </w:r>
      <w:r w:rsidRPr="00D50B7D">
        <w:rPr>
          <w:i/>
        </w:rPr>
        <w:t>Samfunnssikkerhet i kommunens arealplanlegging</w:t>
      </w:r>
      <w:r>
        <w:t xml:space="preserve">, i tillegg til kommunal sjekkliste/mal for ROS-analyser. Fremgangsmåten har bestått av å identifisere potensielle uønskede hendelser og farer basert på </w:t>
      </w:r>
      <w:r w:rsidR="008A732B">
        <w:t>s</w:t>
      </w:r>
      <w:r>
        <w:t xml:space="preserve">jekklisten, og det er føyd til risikoforhold som vurderes å være relevante for planområdet. Disse er så vurdert utfra sannsynlighet og konsekvens. Forhold der sannsynligheten vurderes å være høy og/eller </w:t>
      </w:r>
      <w:r w:rsidR="00E87B80">
        <w:t>der</w:t>
      </w:r>
      <w:r>
        <w:t xml:space="preserve"> konsekvensen antas å kunne bli alvorlig, er avbøtt med foreslåtte tiltak og planbestemmelser.</w:t>
      </w:r>
    </w:p>
    <w:p w:rsidR="008E65F4" w:rsidRDefault="008E65F4" w:rsidP="008E65F4">
      <w:r>
        <w:t xml:space="preserve">I arbeidet med ROS-analysen har også kommunens helhetlige ROS, samt ROS-analyse i kommuneplanens arealdel, vært en del av vurderingsgrunnlaget. </w:t>
      </w:r>
      <w:r w:rsidR="00C6515C">
        <w:t>G</w:t>
      </w:r>
      <w:r w:rsidR="00375C65" w:rsidRPr="00B159AF">
        <w:t>runnundersøkelse</w:t>
      </w:r>
      <w:r w:rsidR="00063403" w:rsidRPr="00B159AF">
        <w:t>r</w:t>
      </w:r>
      <w:r w:rsidR="00B159AF">
        <w:t xml:space="preserve"> utført av Multiconsult høsten 2021</w:t>
      </w:r>
      <w:r w:rsidR="00C6515C">
        <w:t xml:space="preserve"> utgjør også en del av kunnskapsgrunnlaget</w:t>
      </w:r>
      <w:r w:rsidR="00B159AF">
        <w:t>.</w:t>
      </w:r>
    </w:p>
    <w:p w:rsidR="008E65F4" w:rsidRDefault="008E65F4" w:rsidP="008E65F4">
      <w:pPr>
        <w:pStyle w:val="Overskrift3"/>
        <w:spacing w:before="240"/>
      </w:pPr>
      <w:bookmarkStart w:id="27" w:name="_Toc60748475"/>
      <w:bookmarkStart w:id="28" w:name="_Toc127776302"/>
      <w:r>
        <w:t>Sannsynlighet</w:t>
      </w:r>
      <w:bookmarkEnd w:id="27"/>
      <w:bookmarkEnd w:id="28"/>
    </w:p>
    <w:p w:rsidR="00F641BC" w:rsidRDefault="008E65F4" w:rsidP="008E65F4">
      <w:pPr>
        <w:spacing w:before="120"/>
      </w:pPr>
      <w:r>
        <w:t xml:space="preserve">I vurdering av sannsynlighet er det tatt utgangspunkt i sannsynlighetskategorier gjengitt i DSBs veileder </w:t>
      </w:r>
      <w:r w:rsidRPr="007C6F75">
        <w:t>(side 46-47)</w:t>
      </w:r>
      <w:r w:rsidR="0083442B">
        <w:t>:</w:t>
      </w:r>
    </w:p>
    <w:p w:rsidR="008E65F4" w:rsidRDefault="008E65F4" w:rsidP="008E65F4">
      <w:pPr>
        <w:spacing w:before="120"/>
      </w:pPr>
      <w:r>
        <w:t>PlanROS: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56"/>
        <w:gridCol w:w="3818"/>
        <w:gridCol w:w="2688"/>
      </w:tblGrid>
      <w:tr w:rsidR="008E65F4" w:rsidRPr="007C6F75" w:rsidTr="00D86D53">
        <w:tc>
          <w:tcPr>
            <w:tcW w:w="2556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ind w:left="31"/>
              <w:rPr>
                <w:b/>
                <w:sz w:val="18"/>
              </w:rPr>
            </w:pPr>
            <w:r w:rsidRPr="007C6F75">
              <w:rPr>
                <w:b/>
                <w:sz w:val="18"/>
              </w:rPr>
              <w:t>Sannsynlighetskategorier</w:t>
            </w:r>
          </w:p>
        </w:tc>
        <w:tc>
          <w:tcPr>
            <w:tcW w:w="3818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rPr>
                <w:b/>
                <w:sz w:val="18"/>
              </w:rPr>
            </w:pPr>
            <w:r w:rsidRPr="007C6F75">
              <w:rPr>
                <w:b/>
                <w:sz w:val="18"/>
              </w:rPr>
              <w:t>Tidsintervall</w:t>
            </w:r>
          </w:p>
        </w:tc>
        <w:tc>
          <w:tcPr>
            <w:tcW w:w="2688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rPr>
                <w:b/>
                <w:sz w:val="18"/>
              </w:rPr>
            </w:pPr>
            <w:r w:rsidRPr="007C6F75">
              <w:rPr>
                <w:b/>
                <w:sz w:val="18"/>
              </w:rPr>
              <w:t>Sannsynlighet per år</w:t>
            </w:r>
          </w:p>
        </w:tc>
      </w:tr>
      <w:tr w:rsidR="008E65F4" w:rsidRPr="007C6F75" w:rsidTr="00D86D53">
        <w:tc>
          <w:tcPr>
            <w:tcW w:w="2556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Høy</w:t>
            </w:r>
          </w:p>
        </w:tc>
        <w:tc>
          <w:tcPr>
            <w:tcW w:w="381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Oftere enn 1 gang i løpet av 10 år</w:t>
            </w:r>
          </w:p>
        </w:tc>
        <w:tc>
          <w:tcPr>
            <w:tcW w:w="268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&gt; 10 %</w:t>
            </w:r>
          </w:p>
        </w:tc>
      </w:tr>
      <w:tr w:rsidR="008E65F4" w:rsidRPr="007C6F75" w:rsidTr="00D86D53">
        <w:tc>
          <w:tcPr>
            <w:tcW w:w="2556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Middels</w:t>
            </w:r>
          </w:p>
        </w:tc>
        <w:tc>
          <w:tcPr>
            <w:tcW w:w="381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 gang i løpet av 10-100 år</w:t>
            </w:r>
          </w:p>
        </w:tc>
        <w:tc>
          <w:tcPr>
            <w:tcW w:w="268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1-10 %</w:t>
            </w:r>
          </w:p>
        </w:tc>
      </w:tr>
      <w:tr w:rsidR="008E65F4" w:rsidRPr="007C6F75" w:rsidTr="00D86D53">
        <w:tc>
          <w:tcPr>
            <w:tcW w:w="2556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Lav</w:t>
            </w:r>
          </w:p>
        </w:tc>
        <w:tc>
          <w:tcPr>
            <w:tcW w:w="381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Sjeldnere enn 1 gang i løpet av 100 år</w:t>
            </w:r>
          </w:p>
        </w:tc>
        <w:tc>
          <w:tcPr>
            <w:tcW w:w="268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&lt; 1 %</w:t>
            </w:r>
          </w:p>
        </w:tc>
      </w:tr>
    </w:tbl>
    <w:p w:rsidR="004822DD" w:rsidRDefault="004822DD" w:rsidP="008E65F4">
      <w:pPr>
        <w:spacing w:before="240"/>
      </w:pPr>
    </w:p>
    <w:p w:rsidR="008E65F4" w:rsidRDefault="008E65F4" w:rsidP="008E65F4">
      <w:pPr>
        <w:spacing w:before="240"/>
      </w:pPr>
      <w:r>
        <w:lastRenderedPageBreak/>
        <w:t xml:space="preserve">Sannsynlighetsvurdering for </w:t>
      </w:r>
      <w:r w:rsidRPr="00623107">
        <w:rPr>
          <w:u w:val="single"/>
        </w:rPr>
        <w:t>flom og stormflo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3"/>
        <w:gridCol w:w="3701"/>
        <w:gridCol w:w="2688"/>
      </w:tblGrid>
      <w:tr w:rsidR="008E65F4" w:rsidRPr="007C6F75" w:rsidTr="00D86D53">
        <w:tc>
          <w:tcPr>
            <w:tcW w:w="2673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rPr>
                <w:b/>
                <w:sz w:val="18"/>
              </w:rPr>
            </w:pPr>
            <w:r w:rsidRPr="007C6F75">
              <w:rPr>
                <w:b/>
                <w:sz w:val="18"/>
              </w:rPr>
              <w:t>Sannsynlighetskategorier</w:t>
            </w:r>
          </w:p>
        </w:tc>
        <w:tc>
          <w:tcPr>
            <w:tcW w:w="3701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rPr>
                <w:b/>
                <w:sz w:val="18"/>
              </w:rPr>
            </w:pPr>
            <w:r w:rsidRPr="007C6F75">
              <w:rPr>
                <w:b/>
                <w:sz w:val="18"/>
              </w:rPr>
              <w:t>Tidsintervall</w:t>
            </w:r>
          </w:p>
        </w:tc>
        <w:tc>
          <w:tcPr>
            <w:tcW w:w="2688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rPr>
                <w:b/>
                <w:sz w:val="18"/>
              </w:rPr>
            </w:pPr>
            <w:r w:rsidRPr="007C6F75">
              <w:rPr>
                <w:b/>
                <w:sz w:val="18"/>
              </w:rPr>
              <w:t>Sannsynlighet per år</w:t>
            </w:r>
          </w:p>
        </w:tc>
      </w:tr>
      <w:tr w:rsidR="008E65F4" w:rsidRPr="007C6F75" w:rsidTr="00D86D53">
        <w:tc>
          <w:tcPr>
            <w:tcW w:w="2673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Høy</w:t>
            </w:r>
          </w:p>
        </w:tc>
        <w:tc>
          <w:tcPr>
            <w:tcW w:w="3701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 gang i løpet av 20 år</w:t>
            </w:r>
          </w:p>
        </w:tc>
        <w:tc>
          <w:tcPr>
            <w:tcW w:w="268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1/20</w:t>
            </w:r>
          </w:p>
        </w:tc>
      </w:tr>
      <w:tr w:rsidR="008E65F4" w:rsidRPr="007C6F75" w:rsidTr="00D86D53">
        <w:tc>
          <w:tcPr>
            <w:tcW w:w="2673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Middels</w:t>
            </w:r>
          </w:p>
        </w:tc>
        <w:tc>
          <w:tcPr>
            <w:tcW w:w="3701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 gang i løpet av 200 år</w:t>
            </w:r>
          </w:p>
        </w:tc>
        <w:tc>
          <w:tcPr>
            <w:tcW w:w="268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1/200</w:t>
            </w:r>
          </w:p>
        </w:tc>
      </w:tr>
      <w:tr w:rsidR="008E65F4" w:rsidRPr="007C6F75" w:rsidTr="00D86D53">
        <w:tc>
          <w:tcPr>
            <w:tcW w:w="2673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Lav</w:t>
            </w:r>
          </w:p>
        </w:tc>
        <w:tc>
          <w:tcPr>
            <w:tcW w:w="3701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 gang i løpet av 1000 år</w:t>
            </w:r>
          </w:p>
        </w:tc>
        <w:tc>
          <w:tcPr>
            <w:tcW w:w="268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1/1000</w:t>
            </w:r>
          </w:p>
        </w:tc>
      </w:tr>
    </w:tbl>
    <w:p w:rsidR="008E65F4" w:rsidRDefault="008E65F4" w:rsidP="008E65F4">
      <w:pPr>
        <w:spacing w:before="240"/>
      </w:pPr>
      <w:r>
        <w:t xml:space="preserve">Sannsynlighetsvurdering for </w:t>
      </w:r>
      <w:r w:rsidRPr="00623107">
        <w:rPr>
          <w:u w:val="single"/>
        </w:rPr>
        <w:t>skred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3"/>
        <w:gridCol w:w="3701"/>
        <w:gridCol w:w="2688"/>
      </w:tblGrid>
      <w:tr w:rsidR="008E65F4" w:rsidRPr="007C6F75" w:rsidTr="00D86D53">
        <w:tc>
          <w:tcPr>
            <w:tcW w:w="2673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rPr>
                <w:b/>
                <w:sz w:val="18"/>
              </w:rPr>
            </w:pPr>
            <w:r w:rsidRPr="007C6F75">
              <w:rPr>
                <w:b/>
                <w:sz w:val="18"/>
              </w:rPr>
              <w:t>Sannsynlighetskategorier</w:t>
            </w:r>
          </w:p>
        </w:tc>
        <w:tc>
          <w:tcPr>
            <w:tcW w:w="3701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rPr>
                <w:b/>
                <w:sz w:val="18"/>
              </w:rPr>
            </w:pPr>
            <w:r w:rsidRPr="007C6F75">
              <w:rPr>
                <w:b/>
                <w:sz w:val="18"/>
              </w:rPr>
              <w:t>Tidsintervall</w:t>
            </w:r>
          </w:p>
        </w:tc>
        <w:tc>
          <w:tcPr>
            <w:tcW w:w="2688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rPr>
                <w:b/>
                <w:sz w:val="18"/>
              </w:rPr>
            </w:pPr>
            <w:r w:rsidRPr="007C6F75">
              <w:rPr>
                <w:b/>
                <w:sz w:val="18"/>
              </w:rPr>
              <w:t>Sannsynlighet per år</w:t>
            </w:r>
          </w:p>
        </w:tc>
      </w:tr>
      <w:tr w:rsidR="008E65F4" w:rsidRPr="007C6F75" w:rsidTr="00D86D53">
        <w:tc>
          <w:tcPr>
            <w:tcW w:w="2673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Høy</w:t>
            </w:r>
          </w:p>
        </w:tc>
        <w:tc>
          <w:tcPr>
            <w:tcW w:w="3701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 gang i løpet av 100 år</w:t>
            </w:r>
          </w:p>
        </w:tc>
        <w:tc>
          <w:tcPr>
            <w:tcW w:w="268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1/100</w:t>
            </w:r>
          </w:p>
        </w:tc>
      </w:tr>
      <w:tr w:rsidR="008E65F4" w:rsidRPr="007C6F75" w:rsidTr="00944D41">
        <w:tc>
          <w:tcPr>
            <w:tcW w:w="2673" w:type="dxa"/>
            <w:tcBorders>
              <w:bottom w:val="single" w:sz="4" w:space="0" w:color="auto"/>
            </w:tcBorders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Middels</w:t>
            </w:r>
          </w:p>
        </w:tc>
        <w:tc>
          <w:tcPr>
            <w:tcW w:w="3701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 gang i løpet av 1000 år</w:t>
            </w:r>
          </w:p>
        </w:tc>
        <w:tc>
          <w:tcPr>
            <w:tcW w:w="268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1/1000</w:t>
            </w:r>
          </w:p>
        </w:tc>
      </w:tr>
      <w:tr w:rsidR="008E65F4" w:rsidRPr="007C6F75" w:rsidTr="00944D41">
        <w:tc>
          <w:tcPr>
            <w:tcW w:w="2673" w:type="dxa"/>
            <w:tcBorders>
              <w:bottom w:val="single" w:sz="4" w:space="0" w:color="auto"/>
            </w:tcBorders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Lav</w:t>
            </w:r>
          </w:p>
        </w:tc>
        <w:tc>
          <w:tcPr>
            <w:tcW w:w="3701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 gang i løpet av 5000 år</w:t>
            </w:r>
          </w:p>
        </w:tc>
        <w:tc>
          <w:tcPr>
            <w:tcW w:w="2688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 w:rsidRPr="007C6F75">
              <w:rPr>
                <w:sz w:val="18"/>
              </w:rPr>
              <w:t>1/5000</w:t>
            </w:r>
          </w:p>
        </w:tc>
      </w:tr>
    </w:tbl>
    <w:p w:rsidR="008E65F4" w:rsidRDefault="008E65F4" w:rsidP="008E65F4">
      <w:pPr>
        <w:pStyle w:val="Overskrift3"/>
        <w:spacing w:before="240"/>
      </w:pPr>
      <w:bookmarkStart w:id="29" w:name="_Toc60748476"/>
      <w:bookmarkStart w:id="30" w:name="_Toc127776303"/>
      <w:r>
        <w:t>Konsekvens</w:t>
      </w:r>
      <w:bookmarkEnd w:id="29"/>
      <w:bookmarkEnd w:id="30"/>
    </w:p>
    <w:p w:rsidR="008E65F4" w:rsidRDefault="008E65F4" w:rsidP="008E65F4">
      <w:pPr>
        <w:spacing w:before="120"/>
      </w:pPr>
      <w:r>
        <w:t>I vurderingen av konsekvens har vi lagt til grunn følgende kategorier og grenseverdier: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372"/>
        <w:gridCol w:w="2565"/>
        <w:gridCol w:w="2565"/>
        <w:gridCol w:w="2565"/>
      </w:tblGrid>
      <w:tr w:rsidR="008E65F4" w:rsidRPr="007C6F75" w:rsidTr="00D86D53">
        <w:tc>
          <w:tcPr>
            <w:tcW w:w="1372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Konsekvens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Liv og helse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Stabilitet*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8E65F4" w:rsidRPr="007C6F75" w:rsidRDefault="008E65F4" w:rsidP="00D86D53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Materielle verdier</w:t>
            </w:r>
          </w:p>
        </w:tc>
      </w:tr>
      <w:tr w:rsidR="008E65F4" w:rsidRPr="007C6F75" w:rsidTr="00D86D53">
        <w:tc>
          <w:tcPr>
            <w:tcW w:w="1274" w:type="dxa"/>
          </w:tcPr>
          <w:p w:rsidR="008E65F4" w:rsidRPr="00731358" w:rsidRDefault="008E65F4" w:rsidP="00D86D53">
            <w:pPr>
              <w:spacing w:before="40"/>
              <w:rPr>
                <w:sz w:val="18"/>
              </w:rPr>
            </w:pPr>
            <w:r w:rsidRPr="00731358">
              <w:rPr>
                <w:sz w:val="18"/>
              </w:rPr>
              <w:t>Stor</w:t>
            </w:r>
          </w:p>
        </w:tc>
        <w:tc>
          <w:tcPr>
            <w:tcW w:w="2381" w:type="dxa"/>
          </w:tcPr>
          <w:p w:rsidR="008E65F4" w:rsidRPr="00DE3FCE" w:rsidRDefault="00DE3FCE" w:rsidP="00DE3FCE">
            <w:pPr>
              <w:spacing w:before="40"/>
              <w:rPr>
                <w:sz w:val="18"/>
                <w:szCs w:val="18"/>
              </w:rPr>
            </w:pPr>
            <w:r w:rsidRPr="00DE3FCE">
              <w:rPr>
                <w:sz w:val="18"/>
                <w:szCs w:val="18"/>
              </w:rPr>
              <w:t>Flere d</w:t>
            </w:r>
            <w:r w:rsidR="001827BB">
              <w:rPr>
                <w:sz w:val="18"/>
                <w:szCs w:val="18"/>
              </w:rPr>
              <w:t>ødsfall</w:t>
            </w:r>
          </w:p>
        </w:tc>
        <w:tc>
          <w:tcPr>
            <w:tcW w:w="2381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Omfattende og langvarige konsekvenser - nøkkelfunksjoner som kraftforsyning, vannforsyning, telekommunikasjon ute av drift over lengre tid (utover 2 uker)</w:t>
            </w:r>
          </w:p>
        </w:tc>
        <w:tc>
          <w:tcPr>
            <w:tcW w:w="2381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Kritiske materielle skader som setter ut produksjon over lengre tid (mer enn 3 måneder). Store økonomiske tap.</w:t>
            </w:r>
          </w:p>
        </w:tc>
      </w:tr>
      <w:tr w:rsidR="008E65F4" w:rsidRPr="007C6F75" w:rsidTr="00D86D53">
        <w:tc>
          <w:tcPr>
            <w:tcW w:w="1274" w:type="dxa"/>
          </w:tcPr>
          <w:p w:rsidR="008E65F4" w:rsidRPr="00731358" w:rsidRDefault="008E65F4" w:rsidP="00D86D53">
            <w:pPr>
              <w:spacing w:before="40"/>
              <w:rPr>
                <w:sz w:val="18"/>
              </w:rPr>
            </w:pPr>
            <w:r w:rsidRPr="00731358">
              <w:rPr>
                <w:sz w:val="18"/>
              </w:rPr>
              <w:t>Middels</w:t>
            </w:r>
          </w:p>
        </w:tc>
        <w:tc>
          <w:tcPr>
            <w:tcW w:w="2381" w:type="dxa"/>
          </w:tcPr>
          <w:p w:rsidR="001827BB" w:rsidRPr="00E62D6F" w:rsidRDefault="005028B5" w:rsidP="00DE3FCE">
            <w:pPr>
              <w:spacing w:before="40"/>
              <w:rPr>
                <w:sz w:val="18"/>
              </w:rPr>
            </w:pPr>
            <w:r w:rsidRPr="00E62D6F">
              <w:rPr>
                <w:sz w:val="18"/>
              </w:rPr>
              <w:t>1-2 d</w:t>
            </w:r>
            <w:r w:rsidR="001827BB" w:rsidRPr="00E62D6F">
              <w:rPr>
                <w:sz w:val="18"/>
              </w:rPr>
              <w:t>ødsfall</w:t>
            </w:r>
          </w:p>
          <w:p w:rsidR="008E65F4" w:rsidRPr="007C6F75" w:rsidRDefault="001827BB" w:rsidP="00DE3FCE">
            <w:pPr>
              <w:spacing w:before="40"/>
              <w:rPr>
                <w:sz w:val="18"/>
              </w:rPr>
            </w:pPr>
            <w:r w:rsidRPr="00E62D6F">
              <w:rPr>
                <w:sz w:val="18"/>
              </w:rPr>
              <w:t>A</w:t>
            </w:r>
            <w:r w:rsidR="008E65F4" w:rsidRPr="00E62D6F">
              <w:rPr>
                <w:sz w:val="18"/>
              </w:rPr>
              <w:t>lvorlige personskader</w:t>
            </w:r>
          </w:p>
        </w:tc>
        <w:tc>
          <w:tcPr>
            <w:tcW w:w="2381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Svikt i funksjoner som veier, kraft- og vannforsyning, telekommunikasjon. Svikt inntil 2 uker.</w:t>
            </w:r>
          </w:p>
        </w:tc>
        <w:tc>
          <w:tcPr>
            <w:tcW w:w="2381" w:type="dxa"/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Moderate materielle skader som fører til produksjonsstans i 1-3 måneder. Middels økonomiske tap. </w:t>
            </w:r>
          </w:p>
        </w:tc>
      </w:tr>
      <w:tr w:rsidR="008E65F4" w:rsidRPr="007C6F75" w:rsidTr="00D86D53">
        <w:tc>
          <w:tcPr>
            <w:tcW w:w="1274" w:type="dxa"/>
            <w:tcBorders>
              <w:bottom w:val="single" w:sz="4" w:space="0" w:color="auto"/>
            </w:tcBorders>
          </w:tcPr>
          <w:p w:rsidR="008E65F4" w:rsidRPr="00731358" w:rsidRDefault="008E65F4" w:rsidP="00D86D53">
            <w:pPr>
              <w:spacing w:before="40"/>
              <w:rPr>
                <w:sz w:val="18"/>
              </w:rPr>
            </w:pPr>
            <w:r w:rsidRPr="00731358">
              <w:rPr>
                <w:sz w:val="18"/>
              </w:rPr>
              <w:t>Liten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E65F4" w:rsidRPr="007C6F75" w:rsidRDefault="008E65F4" w:rsidP="001827B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Mindre personskader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E65F4" w:rsidRPr="007C6F75" w:rsidRDefault="008E65F4" w:rsidP="00BD59E2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Ubetydelig</w:t>
            </w:r>
            <w:r w:rsidR="00BD59E2">
              <w:rPr>
                <w:sz w:val="18"/>
              </w:rPr>
              <w:t xml:space="preserve"> svikt / </w:t>
            </w:r>
            <w:r>
              <w:rPr>
                <w:sz w:val="18"/>
              </w:rPr>
              <w:t>min</w:t>
            </w:r>
            <w:r w:rsidR="00BD59E2">
              <w:rPr>
                <w:sz w:val="18"/>
              </w:rPr>
              <w:t>dre, midlertidige skader</w:t>
            </w:r>
            <w:r>
              <w:rPr>
                <w:sz w:val="18"/>
              </w:rPr>
              <w:t>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Mindre eller ingen materielle skader / økonomiske tap. Kortere produksjonsstans (inntil 1 måned)</w:t>
            </w:r>
          </w:p>
        </w:tc>
      </w:tr>
      <w:tr w:rsidR="008E65F4" w:rsidRPr="007C6F75" w:rsidTr="00D86D53"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</w:tcPr>
          <w:p w:rsidR="008E65F4" w:rsidRPr="007C6F75" w:rsidRDefault="008E65F4" w:rsidP="00D86D5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*Manglende stabilitet innebærer svikt i kritiske samfunnsfunksjoner og manglende dekning av grunnleggende behov hos befolkningen.</w:t>
            </w:r>
          </w:p>
        </w:tc>
      </w:tr>
    </w:tbl>
    <w:p w:rsidR="008E65F4" w:rsidRPr="00ED21A5" w:rsidRDefault="008E65F4" w:rsidP="00E62D6F"/>
    <w:p w:rsidR="008E65F4" w:rsidRDefault="008E65F4" w:rsidP="00F76473">
      <w:pPr>
        <w:pStyle w:val="Overskrift2"/>
        <w:numPr>
          <w:ilvl w:val="1"/>
          <w:numId w:val="5"/>
        </w:numPr>
      </w:pPr>
      <w:bookmarkStart w:id="31" w:name="_Toc45787648"/>
      <w:bookmarkStart w:id="32" w:name="_Toc57983041"/>
      <w:bookmarkStart w:id="33" w:name="_Toc60748477"/>
      <w:bookmarkStart w:id="34" w:name="_Toc88659614"/>
      <w:bookmarkStart w:id="35" w:name="_Toc89950443"/>
      <w:bookmarkStart w:id="36" w:name="_Toc89958577"/>
      <w:bookmarkStart w:id="37" w:name="_Toc127776304"/>
      <w:r w:rsidRPr="0051198F">
        <w:t>Usikkerhet i ROS-analysen</w:t>
      </w:r>
      <w:bookmarkEnd w:id="31"/>
      <w:bookmarkEnd w:id="32"/>
      <w:bookmarkEnd w:id="33"/>
      <w:bookmarkEnd w:id="34"/>
      <w:bookmarkEnd w:id="35"/>
      <w:bookmarkEnd w:id="36"/>
      <w:bookmarkEnd w:id="37"/>
    </w:p>
    <w:p w:rsidR="008E65F4" w:rsidRDefault="008E65F4" w:rsidP="008E65F4">
      <w:r>
        <w:t>Denne analysen er gjennomført som en skrivebordsstudie og er basert på eksisterende grunnlagsmateriale, kjente data og registrering</w:t>
      </w:r>
      <w:r w:rsidR="00AC1A00">
        <w:t>er, i tille</w:t>
      </w:r>
      <w:r w:rsidR="00EE6352">
        <w:t>gg til grunnundersøkelser</w:t>
      </w:r>
      <w:r>
        <w:t xml:space="preserve"> </w:t>
      </w:r>
      <w:r w:rsidR="0083442B">
        <w:t>utført i 2021</w:t>
      </w:r>
      <w:r>
        <w:t>.</w:t>
      </w:r>
    </w:p>
    <w:p w:rsidR="008E65F4" w:rsidRDefault="008E65F4" w:rsidP="008E65F4">
      <w:r>
        <w:t xml:space="preserve">I utgangspunktet vil all menneskelig aktivitet innebære en viss risiko. Vurderingene i en ROS-analyse vil også alltid innebære en viss usikkerhet, ettersom det mangler både informasjon og metoder som gir nøyaktige beregninger. </w:t>
      </w:r>
    </w:p>
    <w:p w:rsidR="008E65F4" w:rsidRPr="00D10743" w:rsidRDefault="008E65F4" w:rsidP="008E65F4">
      <w:r>
        <w:t>Dersom forutsetningene som ligger til grunn i analysen endres i etterkant eller nye variabler gjøres kjent, bør ROS-analysen revideres.</w:t>
      </w:r>
    </w:p>
    <w:p w:rsidR="004822DD" w:rsidRDefault="004822D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38" w:name="_Toc57983042"/>
      <w:bookmarkStart w:id="39" w:name="_Ref58324259"/>
      <w:bookmarkStart w:id="40" w:name="_Ref58403666"/>
      <w:bookmarkStart w:id="41" w:name="_Ref60653592"/>
      <w:bookmarkStart w:id="42" w:name="_Toc60748478"/>
      <w:bookmarkStart w:id="43" w:name="_Ref86909874"/>
      <w:bookmarkStart w:id="44" w:name="_Ref86934792"/>
      <w:bookmarkStart w:id="45" w:name="_Toc89958578"/>
      <w:r>
        <w:br w:type="page"/>
      </w:r>
    </w:p>
    <w:p w:rsidR="008E65F4" w:rsidRPr="0034574A" w:rsidRDefault="008E65F4" w:rsidP="0043796F">
      <w:pPr>
        <w:pStyle w:val="Overskrift1"/>
        <w:numPr>
          <w:ilvl w:val="0"/>
          <w:numId w:val="5"/>
        </w:numPr>
        <w:spacing w:before="0" w:after="240" w:line="240" w:lineRule="auto"/>
        <w:ind w:left="357" w:hanging="357"/>
      </w:pPr>
      <w:bookmarkStart w:id="46" w:name="_Toc127776305"/>
      <w:r w:rsidRPr="0034574A">
        <w:lastRenderedPageBreak/>
        <w:t>Risiko- og sårbarhetsanalyse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8E65F4" w:rsidRDefault="008E65F4" w:rsidP="00BE1676">
      <w:pPr>
        <w:spacing w:after="120"/>
      </w:pPr>
      <w:r>
        <w:t xml:space="preserve">I risiko- og sårbarhetsanalysen har vi vurdert </w:t>
      </w:r>
      <w:r w:rsidR="00C13419">
        <w:t>vel</w:t>
      </w:r>
      <w:r>
        <w:t xml:space="preserve"> </w:t>
      </w:r>
      <w:r w:rsidRPr="00E62D6F">
        <w:t>30</w:t>
      </w:r>
      <w:r>
        <w:t xml:space="preserve"> risikoforhold/uønskede hendelser, delt opp i fire kategorier: naturrisiko, virksomhetsrisiko, beredskapsrisiko (nødetater) og sårbare objekter.</w:t>
      </w:r>
    </w:p>
    <w:p w:rsidR="008E65F4" w:rsidRPr="00156874" w:rsidRDefault="008E65F4" w:rsidP="008E65F4">
      <w:pPr>
        <w:rPr>
          <w:i/>
          <w:iCs/>
          <w:color w:val="44546A" w:themeColor="text2"/>
          <w:sz w:val="18"/>
          <w:szCs w:val="18"/>
        </w:rPr>
      </w:pPr>
      <w:r>
        <w:t xml:space="preserve">Risikomatrisen oppsummerer mulige uønskede hendelser sortert etter sannsynlighet og konsekvens. Hendelser som havner i rød kategori er vurdert å ha en alvorlighetsgrad som krever tiltak. Gule hendelser har et element av risiko </w:t>
      </w:r>
      <w:r w:rsidR="00244F6E">
        <w:t xml:space="preserve">som tilsier at </w:t>
      </w:r>
      <w:r>
        <w:t>tiltak bør vurderes, m</w:t>
      </w:r>
      <w:r w:rsidR="00F237C7">
        <w:t xml:space="preserve">ens grønne hendelser vurderes å </w:t>
      </w:r>
      <w:r>
        <w:t xml:space="preserve">ha et akseptabelt risikonivå. Hendelsesnummer i matrisen korresponderer med nummer i </w:t>
      </w:r>
      <w:r w:rsidR="00927EA5">
        <w:rPr>
          <w:sz w:val="28"/>
        </w:rPr>
        <w:fldChar w:fldCharType="begin"/>
      </w:r>
      <w:r w:rsidR="00927EA5">
        <w:instrText xml:space="preserve"> REF _Ref57981412 \h </w:instrText>
      </w:r>
      <w:r w:rsidR="00927EA5">
        <w:rPr>
          <w:sz w:val="28"/>
        </w:rPr>
      </w:r>
      <w:r w:rsidR="00927EA5">
        <w:rPr>
          <w:sz w:val="28"/>
        </w:rPr>
        <w:fldChar w:fldCharType="separate"/>
      </w:r>
      <w:r w:rsidR="001C4823" w:rsidRPr="00527D13">
        <w:t xml:space="preserve">Tabell </w:t>
      </w:r>
      <w:r w:rsidR="001C4823">
        <w:rPr>
          <w:noProof/>
        </w:rPr>
        <w:t>2</w:t>
      </w:r>
      <w:r w:rsidR="001C4823">
        <w:noBreakHyphen/>
      </w:r>
      <w:r w:rsidR="001C4823">
        <w:rPr>
          <w:noProof/>
        </w:rPr>
        <w:t>1</w:t>
      </w:r>
      <w:r w:rsidR="00927EA5">
        <w:rPr>
          <w:sz w:val="28"/>
        </w:rPr>
        <w:fldChar w:fldCharType="end"/>
      </w:r>
      <w:r w:rsidR="00166393">
        <w:rPr>
          <w:sz w:val="28"/>
        </w:rPr>
        <w:t>.</w:t>
      </w:r>
    </w:p>
    <w:p w:rsidR="008E65F4" w:rsidRPr="00D974E5" w:rsidRDefault="008E65F4" w:rsidP="008E65F4">
      <w:pPr>
        <w:pStyle w:val="Bildetekst"/>
        <w:spacing w:after="40"/>
        <w:rPr>
          <w:sz w:val="22"/>
          <w:szCs w:val="22"/>
        </w:rPr>
      </w:pPr>
      <w:bookmarkStart w:id="47" w:name="_Ref127777010"/>
      <w:r>
        <w:t xml:space="preserve">Figur </w:t>
      </w:r>
      <w:r w:rsidR="00423E1B">
        <w:fldChar w:fldCharType="begin"/>
      </w:r>
      <w:r w:rsidR="00423E1B">
        <w:instrText xml:space="preserve"> STYLEREF 1 \s </w:instrText>
      </w:r>
      <w:r w:rsidR="00423E1B">
        <w:fldChar w:fldCharType="separate"/>
      </w:r>
      <w:r w:rsidR="001C4823">
        <w:rPr>
          <w:noProof/>
        </w:rPr>
        <w:t>2</w:t>
      </w:r>
      <w:r w:rsidR="00423E1B">
        <w:rPr>
          <w:noProof/>
        </w:rPr>
        <w:fldChar w:fldCharType="end"/>
      </w:r>
      <w:r w:rsidR="00CC01CF">
        <w:noBreakHyphen/>
      </w:r>
      <w:r w:rsidR="00423E1B">
        <w:fldChar w:fldCharType="begin"/>
      </w:r>
      <w:r w:rsidR="00423E1B">
        <w:instrText xml:space="preserve"> SEQ Figur \* ARABIC \s 1 </w:instrText>
      </w:r>
      <w:r w:rsidR="00423E1B">
        <w:fldChar w:fldCharType="separate"/>
      </w:r>
      <w:r w:rsidR="001C4823">
        <w:rPr>
          <w:noProof/>
        </w:rPr>
        <w:t>1</w:t>
      </w:r>
      <w:r w:rsidR="00423E1B">
        <w:rPr>
          <w:noProof/>
        </w:rPr>
        <w:fldChar w:fldCharType="end"/>
      </w:r>
      <w:bookmarkEnd w:id="47"/>
      <w:r>
        <w:t xml:space="preserve"> Risikomatrise</w:t>
      </w:r>
      <w:r w:rsidR="00F00365">
        <w:t xml:space="preserve"> (hendelsesnummer i parentes)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62"/>
        <w:gridCol w:w="2618"/>
        <w:gridCol w:w="2835"/>
        <w:gridCol w:w="2626"/>
      </w:tblGrid>
      <w:tr w:rsidR="008E65F4" w:rsidRPr="002302EA" w:rsidTr="00D86D53">
        <w:trPr>
          <w:trHeight w:val="3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F4" w:rsidRPr="002302EA" w:rsidRDefault="008E65F4" w:rsidP="00D86D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302E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F4" w:rsidRPr="002302EA" w:rsidRDefault="008E65F4" w:rsidP="00D86D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302E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F4" w:rsidRPr="002302EA" w:rsidRDefault="008E65F4" w:rsidP="00D86D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2E1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Konsekvens</w:t>
            </w:r>
          </w:p>
        </w:tc>
      </w:tr>
      <w:tr w:rsidR="008E65F4" w:rsidRPr="002302EA" w:rsidTr="00D86D5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F4" w:rsidRPr="002302EA" w:rsidRDefault="008E65F4" w:rsidP="00D86D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302E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F4" w:rsidRPr="002302EA" w:rsidRDefault="008E65F4" w:rsidP="00D86D5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5F4" w:rsidRPr="002E1340" w:rsidRDefault="008E65F4" w:rsidP="00D86D53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</w:pPr>
            <w:r w:rsidRPr="002E1340"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  <w:t>Liten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2E1340" w:rsidRDefault="008E65F4" w:rsidP="00D86D53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</w:pPr>
            <w:r w:rsidRPr="002E1340"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  <w:t>Middels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2E1340" w:rsidRDefault="008E65F4" w:rsidP="00D86D53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</w:pPr>
            <w:r w:rsidRPr="002E1340"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  <w:t>Stor</w:t>
            </w:r>
          </w:p>
        </w:tc>
      </w:tr>
      <w:tr w:rsidR="008E65F4" w:rsidRPr="002302EA" w:rsidTr="0043626C">
        <w:trPr>
          <w:trHeight w:val="73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65F4" w:rsidRPr="00432BDC" w:rsidRDefault="008E65F4" w:rsidP="00D86D5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nb-NO"/>
              </w:rPr>
            </w:pPr>
            <w:r w:rsidRPr="002E1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Sannsynlighet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2E1340" w:rsidRDefault="008E65F4" w:rsidP="00D86D53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</w:pPr>
            <w:r w:rsidRPr="002E1340"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  <w:t>Høy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8E65F4" w:rsidRPr="00562DD8" w:rsidRDefault="002E5FD6" w:rsidP="00D86D53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</w:pPr>
            <w:r w:rsidRPr="00562DD8"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  <w:t>Ekstremvær (5)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</w:tcPr>
          <w:p w:rsidR="008E65F4" w:rsidRDefault="00562DD8" w:rsidP="00752982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20"/>
                <w:lang w:eastAsia="nb-NO"/>
              </w:rPr>
            </w:pPr>
            <w:r w:rsidRPr="00562DD8">
              <w:rPr>
                <w:rFonts w:asciiTheme="majorHAnsi" w:eastAsia="Times New Roman" w:hAnsiTheme="majorHAnsi" w:cstheme="majorHAnsi"/>
                <w:sz w:val="16"/>
                <w:szCs w:val="20"/>
                <w:lang w:eastAsia="nb-NO"/>
              </w:rPr>
              <w:t>Responstid ambulanse (18)</w:t>
            </w:r>
          </w:p>
          <w:p w:rsidR="00752982" w:rsidRPr="00562DD8" w:rsidRDefault="00752982" w:rsidP="009E0B5A">
            <w:pPr>
              <w:rPr>
                <w:rFonts w:asciiTheme="majorHAnsi" w:eastAsia="Times New Roman" w:hAnsiTheme="majorHAnsi" w:cstheme="majorHAnsi"/>
                <w:sz w:val="16"/>
                <w:szCs w:val="20"/>
                <w:lang w:eastAsia="nb-NO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</w:tcPr>
          <w:p w:rsidR="008E65F4" w:rsidRPr="00562DD8" w:rsidRDefault="008E65F4" w:rsidP="00B472A1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20"/>
                <w:lang w:eastAsia="nb-NO"/>
              </w:rPr>
            </w:pPr>
          </w:p>
        </w:tc>
      </w:tr>
      <w:tr w:rsidR="008E65F4" w:rsidRPr="002302EA" w:rsidTr="0043626C">
        <w:trPr>
          <w:trHeight w:val="84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F4" w:rsidRPr="00432BDC" w:rsidRDefault="008E65F4" w:rsidP="00D86D53">
            <w:pPr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nb-N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2E1340" w:rsidRDefault="008E65F4" w:rsidP="00D86D53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</w:pPr>
            <w:r w:rsidRPr="002E1340"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  <w:t>Middels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8E65F4" w:rsidRPr="00562DD8" w:rsidRDefault="00F00365" w:rsidP="00D86D53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</w:pPr>
            <w:r w:rsidRPr="00562DD8"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  <w:t>Skog-/lyngbrann (6)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8E65F4" w:rsidRPr="00562DD8" w:rsidRDefault="002E5FD6" w:rsidP="00D86D53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20"/>
                <w:lang w:eastAsia="nb-NO"/>
              </w:rPr>
            </w:pPr>
            <w:r w:rsidRPr="00562DD8">
              <w:rPr>
                <w:rFonts w:asciiTheme="majorHAnsi" w:eastAsia="Times New Roman" w:hAnsiTheme="majorHAnsi" w:cstheme="majorHAnsi"/>
                <w:sz w:val="16"/>
                <w:szCs w:val="20"/>
                <w:lang w:eastAsia="nb-NO"/>
              </w:rPr>
              <w:t>Trafikkfare (15)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</w:tcPr>
          <w:p w:rsidR="008E65F4" w:rsidRPr="00562DD8" w:rsidRDefault="008E65F4" w:rsidP="00D86D53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20"/>
                <w:lang w:eastAsia="nb-NO"/>
              </w:rPr>
            </w:pPr>
          </w:p>
        </w:tc>
      </w:tr>
      <w:tr w:rsidR="008E65F4" w:rsidRPr="002302EA" w:rsidTr="0043626C">
        <w:trPr>
          <w:trHeight w:val="10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F4" w:rsidRPr="00432BDC" w:rsidRDefault="008E65F4" w:rsidP="00D86D53">
            <w:pPr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nb-N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2E1340" w:rsidRDefault="008E65F4" w:rsidP="00D86D53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</w:pPr>
            <w:r w:rsidRPr="002E1340">
              <w:rPr>
                <w:rFonts w:ascii="Arial" w:eastAsia="Times New Roman" w:hAnsi="Arial" w:cs="Arial"/>
                <w:b/>
                <w:sz w:val="14"/>
                <w:szCs w:val="16"/>
                <w:lang w:eastAsia="nb-NO"/>
              </w:rPr>
              <w:t>Lav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8E65F4" w:rsidRDefault="00F00365" w:rsidP="00D86D53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</w:pPr>
            <w:r w:rsidRPr="00562DD8"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  <w:t>Flom i vassdrag (3)</w:t>
            </w:r>
          </w:p>
          <w:p w:rsidR="001B3ED1" w:rsidRPr="00562DD8" w:rsidRDefault="001B3ED1" w:rsidP="00D86D53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</w:pPr>
            <w:r w:rsidRPr="00562DD8">
              <w:rPr>
                <w:rFonts w:asciiTheme="majorHAnsi" w:eastAsia="Times New Roman" w:hAnsiTheme="majorHAnsi" w:cstheme="majorHAnsi"/>
                <w:sz w:val="16"/>
                <w:szCs w:val="20"/>
                <w:lang w:eastAsia="nb-NO"/>
              </w:rPr>
              <w:t>Slokkevannskapasitet (20)</w:t>
            </w:r>
          </w:p>
          <w:p w:rsidR="00562DD8" w:rsidRPr="00562DD8" w:rsidRDefault="00562DD8" w:rsidP="00D86D53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</w:pPr>
            <w:r w:rsidRPr="00562DD8"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  <w:t>Kulturminner, ikke-kjente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  <w:t xml:space="preserve"> (23)</w:t>
            </w:r>
          </w:p>
          <w:p w:rsidR="00562DD8" w:rsidRPr="00562DD8" w:rsidRDefault="00562DD8" w:rsidP="00D86D53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</w:pPr>
            <w:r w:rsidRPr="00562DD8"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  <w:t>Drikkevannsforsyning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  <w:t xml:space="preserve"> (29)</w:t>
            </w:r>
          </w:p>
          <w:p w:rsidR="00562DD8" w:rsidRPr="00562DD8" w:rsidRDefault="00562DD8" w:rsidP="00D86D53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</w:pPr>
            <w:r w:rsidRPr="00562DD8">
              <w:rPr>
                <w:rFonts w:asciiTheme="majorHAnsi" w:eastAsia="Times New Roman" w:hAnsiTheme="majorHAnsi" w:cstheme="majorHAnsi"/>
                <w:sz w:val="16"/>
                <w:szCs w:val="16"/>
                <w:lang w:eastAsia="nb-NO"/>
              </w:rPr>
              <w:t>Avløp og overvannshåndtering (30)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8E65F4" w:rsidRPr="00562DD8" w:rsidRDefault="008E65F4" w:rsidP="00D86D53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20"/>
                <w:lang w:eastAsia="nb-NO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8E65F4" w:rsidRPr="00562DD8" w:rsidRDefault="008E65F4" w:rsidP="00D86D53">
            <w:pPr>
              <w:spacing w:after="0"/>
              <w:rPr>
                <w:rFonts w:asciiTheme="majorHAnsi" w:eastAsia="Times New Roman" w:hAnsiTheme="majorHAnsi" w:cstheme="majorHAnsi"/>
                <w:sz w:val="16"/>
                <w:szCs w:val="20"/>
                <w:lang w:eastAsia="nb-NO"/>
              </w:rPr>
            </w:pPr>
          </w:p>
        </w:tc>
      </w:tr>
    </w:tbl>
    <w:p w:rsidR="001B3ED1" w:rsidRDefault="008E65F4" w:rsidP="00156874">
      <w:r>
        <w:t xml:space="preserve">I tillegg til hendelsene oppgitt i matrisen er </w:t>
      </w:r>
      <w:r w:rsidR="00DD788F">
        <w:t>2</w:t>
      </w:r>
      <w:r w:rsidR="00E75E7F">
        <w:t>2</w:t>
      </w:r>
      <w:r>
        <w:t xml:space="preserve"> risikoforhold vurdert å ikke </w:t>
      </w:r>
      <w:r w:rsidR="00E75E7F">
        <w:t xml:space="preserve">ha relevans for </w:t>
      </w:r>
      <w:r>
        <w:t>plan</w:t>
      </w:r>
      <w:r w:rsidR="00DD788F">
        <w:t xml:space="preserve">området. Disse hendelsene framkommer med risikonivå «0» i </w:t>
      </w:r>
      <w:r w:rsidR="00DD788F">
        <w:fldChar w:fldCharType="begin"/>
      </w:r>
      <w:r w:rsidR="00DD788F">
        <w:instrText xml:space="preserve"> REF _Ref112415584 \h </w:instrText>
      </w:r>
      <w:r w:rsidR="00DD788F">
        <w:fldChar w:fldCharType="separate"/>
      </w:r>
      <w:r w:rsidR="001C4823" w:rsidRPr="00527D13">
        <w:t xml:space="preserve">Tabell </w:t>
      </w:r>
      <w:r w:rsidR="001C4823">
        <w:rPr>
          <w:noProof/>
        </w:rPr>
        <w:t>2</w:t>
      </w:r>
      <w:r w:rsidR="001C4823">
        <w:noBreakHyphen/>
      </w:r>
      <w:r w:rsidR="001C4823">
        <w:rPr>
          <w:noProof/>
        </w:rPr>
        <w:t>1</w:t>
      </w:r>
      <w:r w:rsidR="00DD788F">
        <w:fldChar w:fldCharType="end"/>
      </w:r>
      <w:r w:rsidR="00DD788F">
        <w:t>.</w:t>
      </w:r>
    </w:p>
    <w:p w:rsidR="008E65F4" w:rsidRDefault="001B3ED1" w:rsidP="001B3ED1">
      <w:pPr>
        <w:spacing w:before="200" w:after="120"/>
      </w:pPr>
      <w:r>
        <w:t>Én</w:t>
      </w:r>
      <w:r w:rsidR="008E65F4">
        <w:t xml:space="preserve"> </w:t>
      </w:r>
      <w:r>
        <w:t>hendelse</w:t>
      </w:r>
      <w:r w:rsidR="0036365E">
        <w:t xml:space="preserve"> er </w:t>
      </w:r>
      <w:r>
        <w:t>vurdert som rød</w:t>
      </w:r>
      <w:r w:rsidR="008E65F4">
        <w:t>:</w:t>
      </w:r>
    </w:p>
    <w:p w:rsidR="00481B20" w:rsidRDefault="00481B20" w:rsidP="0043796F">
      <w:pPr>
        <w:pStyle w:val="Listeavsnitt"/>
        <w:numPr>
          <w:ilvl w:val="0"/>
          <w:numId w:val="6"/>
        </w:numPr>
        <w:spacing w:before="200" w:after="120" w:line="240" w:lineRule="auto"/>
      </w:pPr>
      <w:r>
        <w:t>Responstid ambulanse</w:t>
      </w:r>
    </w:p>
    <w:p w:rsidR="008E65F4" w:rsidRDefault="00F00365" w:rsidP="008E65F4">
      <w:pPr>
        <w:spacing w:after="80"/>
      </w:pPr>
      <w:r>
        <w:t>To</w:t>
      </w:r>
      <w:r w:rsidR="008E65F4">
        <w:t xml:space="preserve"> hendelser/risikoforhold er vurdert til gul:</w:t>
      </w:r>
    </w:p>
    <w:p w:rsidR="00F00365" w:rsidRDefault="00F00365" w:rsidP="00F00365">
      <w:pPr>
        <w:pStyle w:val="Listeavsnitt"/>
        <w:numPr>
          <w:ilvl w:val="0"/>
          <w:numId w:val="21"/>
        </w:numPr>
        <w:spacing w:after="80"/>
      </w:pPr>
      <w:r>
        <w:t>Ekstremvær</w:t>
      </w:r>
    </w:p>
    <w:p w:rsidR="00F00365" w:rsidRDefault="00F00365" w:rsidP="00F00365">
      <w:pPr>
        <w:pStyle w:val="Listeavsnitt"/>
        <w:numPr>
          <w:ilvl w:val="0"/>
          <w:numId w:val="21"/>
        </w:numPr>
        <w:spacing w:after="80"/>
      </w:pPr>
      <w:r>
        <w:t>Trafikkfare</w:t>
      </w:r>
    </w:p>
    <w:p w:rsidR="008E65F4" w:rsidRDefault="001B3ED1" w:rsidP="002E10C4">
      <w:pPr>
        <w:spacing w:before="120" w:after="80"/>
      </w:pPr>
      <w:r>
        <w:t>Seks</w:t>
      </w:r>
      <w:r w:rsidR="0034574A">
        <w:t xml:space="preserve"> hendelser er vurdert som grønn</w:t>
      </w:r>
      <w:r w:rsidR="008E65F4">
        <w:t>:</w:t>
      </w:r>
    </w:p>
    <w:p w:rsidR="003448ED" w:rsidRDefault="003448ED" w:rsidP="003448ED">
      <w:pPr>
        <w:pStyle w:val="Listeavsnitt"/>
        <w:numPr>
          <w:ilvl w:val="0"/>
          <w:numId w:val="22"/>
        </w:numPr>
        <w:spacing w:before="120"/>
      </w:pPr>
      <w:r>
        <w:t>Skog-/lyngbrann</w:t>
      </w:r>
    </w:p>
    <w:p w:rsidR="0043626C" w:rsidRDefault="00F00365" w:rsidP="00F00365">
      <w:pPr>
        <w:pStyle w:val="Listeavsnitt"/>
        <w:numPr>
          <w:ilvl w:val="0"/>
          <w:numId w:val="22"/>
        </w:numPr>
        <w:spacing w:before="120"/>
      </w:pPr>
      <w:r>
        <w:t>Flom i vassdrag</w:t>
      </w:r>
    </w:p>
    <w:p w:rsidR="001B3ED1" w:rsidRDefault="001B3ED1" w:rsidP="00F00365">
      <w:pPr>
        <w:pStyle w:val="Listeavsnitt"/>
        <w:numPr>
          <w:ilvl w:val="0"/>
          <w:numId w:val="22"/>
        </w:numPr>
        <w:spacing w:before="120"/>
      </w:pPr>
      <w:r>
        <w:t>Slokkevannskapasitet</w:t>
      </w:r>
    </w:p>
    <w:p w:rsidR="00F00365" w:rsidRDefault="00F00365" w:rsidP="00F00365">
      <w:pPr>
        <w:pStyle w:val="Listeavsnitt"/>
        <w:numPr>
          <w:ilvl w:val="0"/>
          <w:numId w:val="22"/>
        </w:numPr>
        <w:spacing w:before="120"/>
      </w:pPr>
      <w:r>
        <w:t>Ø</w:t>
      </w:r>
      <w:r w:rsidRPr="00F00365">
        <w:t xml:space="preserve">deleggelse </w:t>
      </w:r>
      <w:r>
        <w:rPr>
          <w:sz w:val="20"/>
        </w:rPr>
        <w:t>/</w:t>
      </w:r>
      <w:r w:rsidRPr="00F00365">
        <w:t xml:space="preserve"> skjemming av ikke-kjente automatisk fredete kulturminner</w:t>
      </w:r>
    </w:p>
    <w:p w:rsidR="00D97EFE" w:rsidRDefault="00F00365" w:rsidP="00A23466">
      <w:pPr>
        <w:pStyle w:val="Listeavsnitt"/>
        <w:numPr>
          <w:ilvl w:val="0"/>
          <w:numId w:val="22"/>
        </w:numPr>
        <w:spacing w:before="120"/>
      </w:pPr>
      <w:r>
        <w:t>Drikkevannsforsyning</w:t>
      </w:r>
    </w:p>
    <w:p w:rsidR="00D97EFE" w:rsidRDefault="00F00365" w:rsidP="00A23466">
      <w:pPr>
        <w:pStyle w:val="Listeavsnitt"/>
        <w:numPr>
          <w:ilvl w:val="0"/>
          <w:numId w:val="22"/>
        </w:numPr>
        <w:spacing w:before="120"/>
      </w:pPr>
      <w:r>
        <w:t>Avløp og overvannshåndtering</w:t>
      </w:r>
      <w:r w:rsidR="00D97EFE">
        <w:t>.</w:t>
      </w:r>
    </w:p>
    <w:p w:rsidR="008E65F4" w:rsidRDefault="001C4823" w:rsidP="00A23466">
      <w:pPr>
        <w:spacing w:before="120"/>
      </w:pPr>
      <w:r>
        <w:fldChar w:fldCharType="begin"/>
      </w:r>
      <w:r>
        <w:instrText xml:space="preserve"> REF _Ref57981412 \h </w:instrText>
      </w:r>
      <w:r>
        <w:fldChar w:fldCharType="separate"/>
      </w:r>
      <w:r w:rsidRPr="00527D13">
        <w:t xml:space="preserve">Tabell </w:t>
      </w:r>
      <w:r>
        <w:rPr>
          <w:noProof/>
        </w:rPr>
        <w:t>2</w:t>
      </w:r>
      <w:r>
        <w:noBreakHyphen/>
      </w:r>
      <w:r>
        <w:rPr>
          <w:noProof/>
        </w:rPr>
        <w:t>1</w:t>
      </w:r>
      <w:r>
        <w:fldChar w:fldCharType="end"/>
      </w:r>
      <w:r>
        <w:t xml:space="preserve"> </w:t>
      </w:r>
      <w:r w:rsidR="008E65F4">
        <w:t>fremstiller</w:t>
      </w:r>
      <w:r w:rsidR="00F00365">
        <w:t xml:space="preserve"> risiko- og sårbarhetsanalysen. </w:t>
      </w:r>
      <w:r w:rsidR="002E2836" w:rsidRPr="002E2836">
        <w:fldChar w:fldCharType="begin"/>
      </w:r>
      <w:r w:rsidR="002E2836" w:rsidRPr="002E2836">
        <w:instrText xml:space="preserve"> REF _Ref57982695 \h  \* MERGEFORMAT </w:instrText>
      </w:r>
      <w:r w:rsidR="002E2836" w:rsidRPr="002E2836">
        <w:fldChar w:fldCharType="separate"/>
      </w:r>
      <w:r w:rsidRPr="001C4823">
        <w:rPr>
          <w:rFonts w:asciiTheme="majorHAnsi" w:hAnsiTheme="majorHAnsi"/>
        </w:rPr>
        <w:t xml:space="preserve">Tabell </w:t>
      </w:r>
      <w:r w:rsidRPr="001C4823">
        <w:rPr>
          <w:rFonts w:asciiTheme="majorHAnsi" w:hAnsiTheme="majorHAnsi"/>
          <w:noProof/>
        </w:rPr>
        <w:t>2</w:t>
      </w:r>
      <w:r w:rsidRPr="001C4823">
        <w:rPr>
          <w:rFonts w:asciiTheme="majorHAnsi" w:hAnsiTheme="majorHAnsi"/>
          <w:noProof/>
        </w:rPr>
        <w:noBreakHyphen/>
        <w:t>2</w:t>
      </w:r>
      <w:r w:rsidR="002E2836" w:rsidRPr="002E2836">
        <w:fldChar w:fldCharType="end"/>
      </w:r>
      <w:r w:rsidR="002E2836">
        <w:t xml:space="preserve"> </w:t>
      </w:r>
      <w:r w:rsidR="008E65F4">
        <w:t>viser avbøtende tiltak.</w:t>
      </w:r>
      <w:r w:rsidR="008F7F09">
        <w:t xml:space="preserve"> </w:t>
      </w:r>
    </w:p>
    <w:p w:rsidR="00156874" w:rsidRDefault="00156874">
      <w:r>
        <w:br w:type="page"/>
      </w:r>
    </w:p>
    <w:p w:rsidR="008E65F4" w:rsidRPr="00527D13" w:rsidRDefault="008E65F4" w:rsidP="000B2F3F">
      <w:pPr>
        <w:pStyle w:val="Bildetekst"/>
        <w:keepNext/>
        <w:spacing w:after="120"/>
      </w:pPr>
      <w:bookmarkStart w:id="48" w:name="_Ref57981412"/>
      <w:bookmarkStart w:id="49" w:name="_Ref112415584"/>
      <w:r w:rsidRPr="00527D13">
        <w:lastRenderedPageBreak/>
        <w:t xml:space="preserve">Tabell </w:t>
      </w:r>
      <w:r w:rsidR="00423E1B">
        <w:fldChar w:fldCharType="begin"/>
      </w:r>
      <w:r w:rsidR="00423E1B">
        <w:instrText xml:space="preserve"> STYLEREF 1 \s </w:instrText>
      </w:r>
      <w:r w:rsidR="00423E1B">
        <w:fldChar w:fldCharType="separate"/>
      </w:r>
      <w:r w:rsidR="001C4823">
        <w:rPr>
          <w:noProof/>
        </w:rPr>
        <w:t>2</w:t>
      </w:r>
      <w:r w:rsidR="00423E1B">
        <w:rPr>
          <w:noProof/>
        </w:rPr>
        <w:fldChar w:fldCharType="end"/>
      </w:r>
      <w:r w:rsidR="003B3808">
        <w:noBreakHyphen/>
      </w:r>
      <w:r w:rsidR="00423E1B">
        <w:fldChar w:fldCharType="begin"/>
      </w:r>
      <w:r w:rsidR="00423E1B">
        <w:instrText xml:space="preserve"> SEQ Tabell \* ARABIC \s 1 </w:instrText>
      </w:r>
      <w:r w:rsidR="00423E1B">
        <w:fldChar w:fldCharType="separate"/>
      </w:r>
      <w:r w:rsidR="001C4823">
        <w:rPr>
          <w:noProof/>
        </w:rPr>
        <w:t>1</w:t>
      </w:r>
      <w:r w:rsidR="00423E1B">
        <w:rPr>
          <w:noProof/>
        </w:rPr>
        <w:fldChar w:fldCharType="end"/>
      </w:r>
      <w:bookmarkEnd w:id="48"/>
      <w:bookmarkEnd w:id="49"/>
      <w:r w:rsidRPr="00527D13">
        <w:t xml:space="preserve"> </w:t>
      </w:r>
      <w:bookmarkStart w:id="50" w:name="_Ref58324071"/>
      <w:r w:rsidRPr="00527D13">
        <w:t>Risiko- og sårbarhetsanalyse</w:t>
      </w:r>
      <w:bookmarkEnd w:id="5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5"/>
        <w:gridCol w:w="396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8E65F4" w:rsidRPr="00FC7A74" w:rsidTr="00D86D53">
        <w:trPr>
          <w:trHeight w:val="315"/>
        </w:trPr>
        <w:tc>
          <w:tcPr>
            <w:tcW w:w="609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E65F4" w:rsidRPr="00221C78" w:rsidRDefault="008E65F4" w:rsidP="00DD788F">
            <w:pPr>
              <w:spacing w:after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nb-NO"/>
              </w:rPr>
            </w:pPr>
            <w:r w:rsidRPr="00FA4C5A">
              <w:rPr>
                <w:rFonts w:asciiTheme="majorHAnsi" w:eastAsia="Times New Roman" w:hAnsiTheme="majorHAnsi" w:cs="Arial"/>
                <w:b/>
                <w:bCs/>
                <w:lang w:eastAsia="nb-NO"/>
              </w:rPr>
              <w:t>PlanID 20</w:t>
            </w:r>
            <w:r w:rsidR="00DD788F" w:rsidRPr="00FA4C5A">
              <w:rPr>
                <w:rFonts w:asciiTheme="majorHAnsi" w:eastAsia="Times New Roman" w:hAnsiTheme="majorHAnsi" w:cs="Arial"/>
                <w:b/>
                <w:bCs/>
                <w:lang w:eastAsia="nb-NO"/>
              </w:rPr>
              <w:t>22</w:t>
            </w:r>
            <w:r w:rsidRPr="00FA4C5A">
              <w:rPr>
                <w:rFonts w:asciiTheme="majorHAnsi" w:eastAsia="Times New Roman" w:hAnsiTheme="majorHAnsi" w:cs="Arial"/>
                <w:b/>
                <w:bCs/>
                <w:lang w:eastAsia="nb-NO"/>
              </w:rPr>
              <w:t xml:space="preserve">01 </w:t>
            </w:r>
            <w:r w:rsidR="00DD788F" w:rsidRPr="00FA4C5A">
              <w:rPr>
                <w:rFonts w:asciiTheme="majorHAnsi" w:eastAsia="Times New Roman" w:hAnsiTheme="majorHAnsi" w:cs="Arial"/>
                <w:b/>
                <w:bCs/>
                <w:lang w:eastAsia="nb-NO"/>
              </w:rPr>
              <w:t>–</w:t>
            </w:r>
            <w:r w:rsidRPr="00FA4C5A">
              <w:rPr>
                <w:rFonts w:asciiTheme="majorHAnsi" w:eastAsia="Times New Roman" w:hAnsiTheme="majorHAnsi" w:cs="Arial"/>
                <w:b/>
                <w:bCs/>
                <w:lang w:eastAsia="nb-NO"/>
              </w:rPr>
              <w:t xml:space="preserve"> </w:t>
            </w:r>
            <w:r w:rsidR="00DD788F">
              <w:rPr>
                <w:rFonts w:asciiTheme="majorHAnsi" w:eastAsia="Times New Roman" w:hAnsiTheme="majorHAnsi" w:cs="Arial"/>
                <w:b/>
                <w:bCs/>
                <w:lang w:eastAsia="nb-NO"/>
              </w:rPr>
              <w:t>Detaljregulering Øverbygda boligfelt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sz w:val="16"/>
                <w:szCs w:val="16"/>
                <w:lang w:eastAsia="nb-NO"/>
              </w:rPr>
              <w:t>Sannsynlighet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sz w:val="16"/>
                <w:szCs w:val="16"/>
                <w:lang w:eastAsia="nb-NO"/>
              </w:rPr>
              <w:t>Konsekvens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65F4" w:rsidRPr="00137A33" w:rsidRDefault="008E65F4" w:rsidP="00D86D53">
            <w:pPr>
              <w:spacing w:after="0"/>
              <w:ind w:right="113"/>
              <w:rPr>
                <w:rFonts w:asciiTheme="majorHAnsi" w:eastAsia="Times New Roman" w:hAnsiTheme="majorHAnsi" w:cs="Arial"/>
                <w:b/>
                <w:sz w:val="14"/>
                <w:szCs w:val="16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b/>
                <w:sz w:val="14"/>
                <w:szCs w:val="16"/>
                <w:lang w:eastAsia="nb-NO"/>
              </w:rPr>
              <w:t>Risikonivå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E65F4" w:rsidRPr="00DD501D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</w:pPr>
            <w:r w:rsidRPr="00DD501D"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  <w:t xml:space="preserve">Merknad nr. </w:t>
            </w:r>
          </w:p>
          <w:p w:rsidR="008E65F4" w:rsidRPr="00DD501D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</w:pPr>
            <w:r w:rsidRPr="00DD501D"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  <w:t xml:space="preserve">(se </w:t>
            </w:r>
            <w:r w:rsidRPr="00DD501D">
              <w:rPr>
                <w:rFonts w:asciiTheme="majorHAnsi" w:eastAsia="Times New Roman" w:hAnsiTheme="majorHAnsi" w:cstheme="minorHAnsi"/>
                <w:sz w:val="14"/>
                <w:szCs w:val="16"/>
                <w:lang w:eastAsia="nb-NO"/>
              </w:rPr>
              <w:fldChar w:fldCharType="begin"/>
            </w:r>
            <w:r w:rsidRPr="00DD501D">
              <w:rPr>
                <w:rFonts w:asciiTheme="majorHAnsi" w:eastAsia="Times New Roman" w:hAnsiTheme="majorHAnsi" w:cstheme="minorHAnsi"/>
                <w:sz w:val="14"/>
                <w:szCs w:val="16"/>
                <w:lang w:eastAsia="nb-NO"/>
              </w:rPr>
              <w:instrText xml:space="preserve"> REF _Ref57982695 \h  \* MERGEFORMAT </w:instrText>
            </w:r>
            <w:r w:rsidRPr="00DD501D">
              <w:rPr>
                <w:rFonts w:asciiTheme="majorHAnsi" w:eastAsia="Times New Roman" w:hAnsiTheme="majorHAnsi" w:cstheme="minorHAnsi"/>
                <w:sz w:val="14"/>
                <w:szCs w:val="16"/>
                <w:lang w:eastAsia="nb-NO"/>
              </w:rPr>
            </w:r>
            <w:r w:rsidRPr="00DD501D">
              <w:rPr>
                <w:rFonts w:asciiTheme="majorHAnsi" w:eastAsia="Times New Roman" w:hAnsiTheme="majorHAnsi" w:cstheme="minorHAnsi"/>
                <w:sz w:val="14"/>
                <w:szCs w:val="16"/>
                <w:lang w:eastAsia="nb-NO"/>
              </w:rPr>
              <w:fldChar w:fldCharType="separate"/>
            </w:r>
            <w:r w:rsidR="001C4823" w:rsidRPr="001C4823">
              <w:rPr>
                <w:rFonts w:asciiTheme="majorHAnsi" w:hAnsiTheme="majorHAnsi" w:cstheme="minorHAnsi"/>
                <w:sz w:val="14"/>
                <w:szCs w:val="16"/>
              </w:rPr>
              <w:t xml:space="preserve">Tabell </w:t>
            </w:r>
            <w:r w:rsidR="001C4823" w:rsidRPr="001C4823">
              <w:rPr>
                <w:rFonts w:asciiTheme="majorHAnsi" w:hAnsiTheme="majorHAnsi" w:cstheme="minorHAnsi"/>
                <w:noProof/>
                <w:sz w:val="14"/>
                <w:szCs w:val="16"/>
              </w:rPr>
              <w:t>2</w:t>
            </w:r>
            <w:r w:rsidR="001C4823" w:rsidRPr="001C4823">
              <w:rPr>
                <w:rFonts w:asciiTheme="majorHAnsi" w:hAnsiTheme="majorHAnsi" w:cstheme="minorHAnsi"/>
                <w:noProof/>
                <w:sz w:val="14"/>
                <w:szCs w:val="16"/>
              </w:rPr>
              <w:noBreakHyphen/>
              <w:t>2</w:t>
            </w:r>
            <w:r w:rsidRPr="00DD501D">
              <w:rPr>
                <w:rFonts w:asciiTheme="majorHAnsi" w:eastAsia="Times New Roman" w:hAnsiTheme="majorHAnsi" w:cstheme="minorHAnsi"/>
                <w:sz w:val="14"/>
                <w:szCs w:val="16"/>
                <w:lang w:eastAsia="nb-NO"/>
              </w:rPr>
              <w:fldChar w:fldCharType="end"/>
            </w:r>
            <w:r w:rsidRPr="00DD501D">
              <w:rPr>
                <w:rFonts w:asciiTheme="majorHAnsi" w:eastAsia="Times New Roman" w:hAnsiTheme="majorHAnsi" w:cstheme="minorHAnsi"/>
                <w:sz w:val="14"/>
                <w:szCs w:val="16"/>
                <w:lang w:eastAsia="nb-NO"/>
              </w:rPr>
              <w:t>)</w:t>
            </w:r>
          </w:p>
        </w:tc>
      </w:tr>
      <w:tr w:rsidR="008E65F4" w:rsidRPr="00FC7A74" w:rsidTr="00A50F78">
        <w:trPr>
          <w:trHeight w:val="866"/>
        </w:trPr>
        <w:tc>
          <w:tcPr>
            <w:tcW w:w="60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rPr>
                <w:rFonts w:asciiTheme="majorHAnsi" w:eastAsia="Times New Roman" w:hAnsiTheme="majorHAnsi" w:cs="Arial"/>
                <w:bCs/>
                <w:color w:val="0070C0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65F4" w:rsidRPr="00DD501D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</w:pPr>
            <w:r w:rsidRPr="00DD501D"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  <w:t>Høy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65F4" w:rsidRPr="00DD501D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</w:pPr>
            <w:r w:rsidRPr="00DD501D"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  <w:t>Middels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65F4" w:rsidRPr="00DD501D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</w:pPr>
            <w:r w:rsidRPr="00DD501D"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  <w:t>Lav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65F4" w:rsidRPr="00DD501D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</w:pPr>
            <w:r w:rsidRPr="00DD501D"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  <w:t>Ikke relevant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65F4" w:rsidRPr="00DD501D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</w:pPr>
            <w:r w:rsidRPr="00DD501D"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  <w:t>Stor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65F4" w:rsidRPr="00DD501D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</w:pPr>
            <w:r w:rsidRPr="00DD501D"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  <w:t>Middels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65F4" w:rsidRPr="00DD501D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</w:pPr>
            <w:r w:rsidRPr="00DD501D"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  <w:t>Liten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65F4" w:rsidRPr="00DD501D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</w:pPr>
            <w:r w:rsidRPr="00DD501D">
              <w:rPr>
                <w:rFonts w:asciiTheme="majorHAnsi" w:eastAsia="Times New Roman" w:hAnsiTheme="majorHAnsi" w:cs="Arial"/>
                <w:sz w:val="14"/>
                <w:szCs w:val="16"/>
                <w:lang w:eastAsia="nb-NO"/>
              </w:rPr>
              <w:t>Ikke relevant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E65F4" w:rsidRPr="00FC7A74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E65F4" w:rsidRPr="00FC7A74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6"/>
                <w:szCs w:val="16"/>
                <w:lang w:eastAsia="nb-NO"/>
              </w:rPr>
            </w:pPr>
          </w:p>
        </w:tc>
      </w:tr>
      <w:tr w:rsidR="008E65F4" w:rsidRPr="00FC7A74" w:rsidTr="00D86D53">
        <w:trPr>
          <w:trHeight w:val="255"/>
        </w:trPr>
        <w:tc>
          <w:tcPr>
            <w:tcW w:w="609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20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bCs/>
                <w:sz w:val="18"/>
                <w:szCs w:val="20"/>
                <w:lang w:eastAsia="nb-NO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20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bCs/>
                <w:sz w:val="18"/>
                <w:szCs w:val="20"/>
                <w:lang w:eastAsia="nb-NO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</w:tr>
      <w:tr w:rsidR="008E65F4" w:rsidRPr="00FC7A74" w:rsidTr="00330804">
        <w:trPr>
          <w:trHeight w:val="270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E65F4" w:rsidRPr="00FF10F7" w:rsidRDefault="008E65F4" w:rsidP="00D86D53">
            <w:pPr>
              <w:spacing w:after="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20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20"/>
                <w:lang w:eastAsia="nb-NO"/>
              </w:rPr>
              <w:t xml:space="preserve">NATURRISIKO 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8E65F4" w:rsidRPr="00FF10F7" w:rsidRDefault="008E65F4" w:rsidP="00D86D53">
            <w:pPr>
              <w:spacing w:after="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20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20"/>
                <w:lang w:eastAsia="nb-NO"/>
              </w:rPr>
              <w:t>Vurdering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color w:val="808080"/>
                <w:sz w:val="16"/>
                <w:szCs w:val="20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color w:val="808080"/>
                <w:sz w:val="16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color w:val="808080"/>
                <w:sz w:val="16"/>
                <w:szCs w:val="20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color w:val="808080"/>
                <w:sz w:val="16"/>
                <w:szCs w:val="20"/>
                <w:lang w:eastAsia="nb-NO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6"/>
                <w:szCs w:val="20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sz w:val="16"/>
                <w:szCs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6"/>
                <w:szCs w:val="20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sz w:val="16"/>
                <w:szCs w:val="20"/>
                <w:lang w:eastAsia="nb-NO"/>
              </w:rPr>
              <w:t> </w:t>
            </w:r>
          </w:p>
        </w:tc>
      </w:tr>
      <w:tr w:rsidR="008E65F4" w:rsidRPr="00FC7A74" w:rsidTr="00137A33">
        <w:trPr>
          <w:trHeight w:val="610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E65F4" w:rsidRPr="004D794B" w:rsidRDefault="004D794B" w:rsidP="00D86D53">
            <w:pPr>
              <w:spacing w:after="0"/>
              <w:jc w:val="right"/>
              <w:rPr>
                <w:rFonts w:asciiTheme="majorHAnsi" w:eastAsia="Times New Roman" w:hAnsiTheme="majorHAnsi" w:cstheme="minorHAnsi"/>
                <w:sz w:val="18"/>
                <w:szCs w:val="17"/>
                <w:lang w:eastAsia="nb-NO"/>
              </w:rPr>
            </w:pPr>
            <w:r w:rsidRPr="004D794B">
              <w:rPr>
                <w:rFonts w:asciiTheme="majorHAnsi" w:eastAsia="Times New Roman" w:hAnsiTheme="majorHAnsi" w:cstheme="minorHAnsi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57061" w:rsidRPr="00557061" w:rsidRDefault="00557061" w:rsidP="00557484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7"/>
                <w:lang w:eastAsia="nb-NO"/>
              </w:rPr>
            </w:pPr>
            <w:r w:rsidRPr="00557061">
              <w:rPr>
                <w:rFonts w:asciiTheme="majorHAnsi" w:eastAsia="Times New Roman" w:hAnsiTheme="majorHAnsi" w:cstheme="majorHAnsi"/>
                <w:color w:val="000000"/>
                <w:sz w:val="18"/>
                <w:szCs w:val="17"/>
                <w:lang w:eastAsia="nb-NO"/>
              </w:rPr>
              <w:t>Skred</w:t>
            </w:r>
          </w:p>
          <w:p w:rsidR="00137A33" w:rsidRPr="00137A33" w:rsidRDefault="00557061" w:rsidP="00557061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16"/>
                <w:szCs w:val="17"/>
                <w:lang w:eastAsia="nb-NO"/>
              </w:rPr>
            </w:pPr>
            <w:r w:rsidRPr="00557484">
              <w:rPr>
                <w:rFonts w:asciiTheme="majorHAnsi" w:eastAsia="Times New Roman" w:hAnsiTheme="majorHAnsi" w:cstheme="majorHAnsi"/>
                <w:sz w:val="16"/>
                <w:szCs w:val="17"/>
                <w:lang w:eastAsia="nb-NO"/>
              </w:rPr>
              <w:t>www.skrednett.no</w:t>
            </w:r>
          </w:p>
        </w:tc>
        <w:tc>
          <w:tcPr>
            <w:tcW w:w="39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7A33" w:rsidRPr="00557061" w:rsidRDefault="00557061" w:rsidP="0055706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7"/>
                <w:lang w:eastAsia="nb-NO"/>
              </w:rPr>
            </w:pPr>
            <w:r w:rsidRPr="00557061">
              <w:rPr>
                <w:rFonts w:asciiTheme="majorHAnsi" w:eastAsia="Times New Roman" w:hAnsiTheme="majorHAnsi" w:cstheme="majorHAnsi"/>
                <w:color w:val="000000"/>
                <w:sz w:val="18"/>
                <w:szCs w:val="17"/>
                <w:lang w:eastAsia="nb-NO"/>
              </w:rPr>
              <w:t>Planområdet ligger utenfor fare for skred i bratt terreng, jf. NVEs uttalelse til varsel om oppstart.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7"/>
                <w:lang w:eastAsia="nb-NO"/>
              </w:rPr>
            </w:pPr>
          </w:p>
        </w:tc>
      </w:tr>
      <w:tr w:rsidR="008E65F4" w:rsidRPr="00FC7A74" w:rsidTr="00E62D6F">
        <w:trPr>
          <w:trHeight w:val="707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D17AF3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D17AF3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</w:p>
        </w:tc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7105" w:rsidRDefault="00137A33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Grunnforhold (kvikkleire)</w:t>
            </w:r>
          </w:p>
          <w:p w:rsidR="00137A33" w:rsidRDefault="00137A33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137A33" w:rsidRPr="001F7105" w:rsidRDefault="00137A33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2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www.ngu.no, grunnundersøkelser og geoteknisk vurdering</w:t>
            </w: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65F4" w:rsidRPr="00D17AF3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Planområdet ligger under marin grense. </w:t>
            </w:r>
            <w:r w:rsidR="00A3734A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Det ble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gjort</w:t>
            </w: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 grunnundersøkelser høsten 2021. Det ble ikke</w:t>
            </w:r>
            <w:r w:rsidR="00A3734A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 funnet løsmasser med sprøbruddegenskaper. Geoteknisk vurdering konkluderer med at o</w:t>
            </w: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mrådest</w:t>
            </w:r>
            <w:r w:rsidR="00A3734A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abiliteten er</w:t>
            </w: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 tilfredsstillende, og sikkerhet i henhold til TEK17, § 7-3 vurderes å være oppfylt.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137A33">
        <w:trPr>
          <w:trHeight w:val="1175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D17AF3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D17AF3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3</w:t>
            </w:r>
          </w:p>
        </w:tc>
        <w:tc>
          <w:tcPr>
            <w:tcW w:w="1705" w:type="dxa"/>
            <w:tcBorders>
              <w:top w:val="dotted" w:sz="4" w:space="0" w:color="auto"/>
            </w:tcBorders>
            <w:shd w:val="clear" w:color="auto" w:fill="auto"/>
          </w:tcPr>
          <w:p w:rsidR="008E65F4" w:rsidRDefault="00137A33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Flom i vassdrag</w:t>
            </w:r>
          </w:p>
          <w:p w:rsidR="00137A33" w:rsidRDefault="00137A33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137A33" w:rsidRDefault="00137A33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137A33" w:rsidRDefault="00137A33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4C1124" w:rsidRDefault="004C112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</w:p>
          <w:p w:rsidR="004C1124" w:rsidRDefault="004C112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</w:p>
          <w:p w:rsidR="004C1124" w:rsidRDefault="004C112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</w:p>
          <w:p w:rsidR="004C1124" w:rsidRDefault="004C112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</w:p>
          <w:p w:rsidR="00137A33" w:rsidRPr="00D17AF3" w:rsidRDefault="00137A33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www.nve.no</w:t>
            </w:r>
          </w:p>
        </w:tc>
        <w:tc>
          <w:tcPr>
            <w:tcW w:w="396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C871CA" w:rsidRDefault="00137A33" w:rsidP="00717E8C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Det er ingen aktsomhetsområder for flom markert i NVEs databaser.</w:t>
            </w:r>
            <w:r w:rsidR="00717E8C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 xml:space="preserve"> </w:t>
            </w:r>
            <w:r w:rsidRPr="00137A33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Det går et lite bekkeløp i et dalsøk</w:t>
            </w:r>
            <w:r w:rsidR="00717E8C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 xml:space="preserve">k i nordlig ende av planområdet. Under høring har NVE uttalt til Statsforvalteren at dette bekkeløpet mangler i deres kart. Samme vassdrag har lenger ned i bygda en maksimal vannstandstigning på 2,5 meter. </w:t>
            </w:r>
            <w:r w:rsidR="00717E8C" w:rsidRPr="00717E8C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Flom anses ikke som en risiko, da laveste terrenghøyde i planområdet (= byggeområdet) ligger høyere enn 2,5 m.</w:t>
            </w:r>
          </w:p>
          <w:p w:rsidR="004C1124" w:rsidRDefault="004C1124" w:rsidP="00717E8C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  <w:p w:rsidR="004C1124" w:rsidRPr="00717E8C" w:rsidRDefault="004C1124" w:rsidP="00717E8C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Byggegrense langs vassdrag tar hensyn til mulig fremtidig erosjon som følge av klimaendringer.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01010A" w:rsidRDefault="008E65F4" w:rsidP="0001010A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137A33">
        <w:trPr>
          <w:trHeight w:val="558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D17AF3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D17AF3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4</w:t>
            </w:r>
          </w:p>
        </w:tc>
        <w:tc>
          <w:tcPr>
            <w:tcW w:w="1705" w:type="dxa"/>
            <w:shd w:val="clear" w:color="auto" w:fill="auto"/>
          </w:tcPr>
          <w:p w:rsidR="008E65F4" w:rsidRPr="00D17AF3" w:rsidRDefault="00137A33" w:rsidP="00654F92">
            <w:pPr>
              <w:spacing w:after="0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Stormflo og havnivåstigning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8E65F4" w:rsidRPr="00137A33" w:rsidRDefault="00137A33" w:rsidP="001F710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Ikke relevant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A16D70">
        <w:trPr>
          <w:trHeight w:val="5227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D17AF3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D17AF3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5</w:t>
            </w:r>
          </w:p>
        </w:tc>
        <w:tc>
          <w:tcPr>
            <w:tcW w:w="1705" w:type="dxa"/>
            <w:shd w:val="clear" w:color="auto" w:fill="auto"/>
          </w:tcPr>
          <w:p w:rsidR="00415B76" w:rsidRPr="00D17AF3" w:rsidRDefault="00137A33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Ekstremvær (sterk vind, store nedbørsmengder, følgevirkninger)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137A33" w:rsidRPr="00137A33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Planområdet ligger mer skjermet til enn kyststrøkene lenger ut i Laksefjorden men er tidvis eksponert for sterk vind og ekstremvær. </w:t>
            </w:r>
          </w:p>
          <w:p w:rsidR="00137A33" w:rsidRPr="00137A33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137A33" w:rsidRPr="00137A33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Det forekommer at strømforsyninga faller ut i kortere perioder i dårlig vær, men dette er en situasjon som lokalbefolkningen er beredt på (egenberedskap).</w:t>
            </w:r>
          </w:p>
          <w:p w:rsidR="00137A33" w:rsidRPr="00137A33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137A33" w:rsidRPr="00137A33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Ekstremvær kan også føre til utfall av elektronisk kommunikasjon.</w:t>
            </w:r>
          </w:p>
          <w:p w:rsidR="00137A33" w:rsidRPr="00137A33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137A33" w:rsidRPr="00137A33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Ved dårlig vær kan det være utfordrende for nødetatene å ta seg frem. Dette er kommentert nærmere under, se responstid ambulanse.</w:t>
            </w:r>
          </w:p>
          <w:p w:rsidR="00137A33" w:rsidRPr="00137A33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137A33" w:rsidRPr="00137A33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Planforslaget vurderes å ikke ha store konsekvenser for håndtering av overvann. Det medtas bestemmelse om at overvann og drenering løses på hver enkelt tomt. </w:t>
            </w:r>
          </w:p>
          <w:p w:rsidR="00137A33" w:rsidRPr="00137A33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4A7269" w:rsidRPr="008012D2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Konsekvensene av ekstremvær vurderes samlet som små og av midlertidig karakter.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0000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137A33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</w:tr>
      <w:tr w:rsidR="008E65F4" w:rsidRPr="00FC7A74" w:rsidTr="00A16D70">
        <w:trPr>
          <w:trHeight w:val="2153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D17AF3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D17AF3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lastRenderedPageBreak/>
              <w:t>6</w:t>
            </w:r>
          </w:p>
        </w:tc>
        <w:tc>
          <w:tcPr>
            <w:tcW w:w="1705" w:type="dxa"/>
            <w:shd w:val="clear" w:color="auto" w:fill="auto"/>
          </w:tcPr>
          <w:p w:rsidR="00137A33" w:rsidRPr="00137A33" w:rsidRDefault="00137A33" w:rsidP="00137A3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Skog/lyngbrann </w:t>
            </w:r>
          </w:p>
          <w:p w:rsidR="00137A33" w:rsidRPr="00137A33" w:rsidRDefault="00137A33" w:rsidP="00137A3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137A33" w:rsidRPr="00137A33" w:rsidRDefault="00137A33" w:rsidP="00137A3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137A33" w:rsidRPr="00137A33" w:rsidRDefault="00137A33" w:rsidP="00137A3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137A33" w:rsidRPr="00137A33" w:rsidRDefault="00137A33" w:rsidP="00137A3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  <w:p w:rsidR="008E65F4" w:rsidRPr="00D17AF3" w:rsidRDefault="00137A33" w:rsidP="00137A3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137A33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Klimaprofil Finnmark (Norsk klimaservice</w:t>
            </w:r>
            <w:r w:rsidR="00A16D70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-</w:t>
            </w:r>
            <w:r w:rsidRPr="00137A33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senter, 2021)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8E65F4" w:rsidRPr="00A16D70" w:rsidRDefault="00137A33" w:rsidP="00137A3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A16D70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Deler av planområdet preges av bjørkeskog og ris- og lyngvegetasjon. Det har ikke vært skog-/lyng</w:t>
            </w:r>
            <w:r w:rsidR="00A16D70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-branner i området tidligere. </w:t>
            </w:r>
            <w:r w:rsidRPr="00A16D70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Mulige fremtidige klimaendringer kan føre til tørkeperioder som kan øke faren for vegetasjonsbrann. Det vurderes likevel ikke at dette ville få vesentlige konsekvenser for liv/helse, stabilitet eller materielle verdier, da planforslaget legger opp til store tomter med god avstand mellom bygg.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  <w:noWrap/>
            <w:vAlign w:val="center"/>
          </w:tcPr>
          <w:p w:rsidR="008E65F4" w:rsidRPr="00D17AF3" w:rsidRDefault="00A16D70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noWrap/>
            <w:vAlign w:val="center"/>
          </w:tcPr>
          <w:p w:rsidR="008E65F4" w:rsidRPr="00D17AF3" w:rsidRDefault="00A16D70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E65F4" w:rsidRPr="00D17AF3" w:rsidRDefault="00A16D70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A16D70">
        <w:trPr>
          <w:trHeight w:val="510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D17AF3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D17AF3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7</w:t>
            </w:r>
          </w:p>
        </w:tc>
        <w:tc>
          <w:tcPr>
            <w:tcW w:w="1705" w:type="dxa"/>
            <w:shd w:val="clear" w:color="auto" w:fill="auto"/>
          </w:tcPr>
          <w:p w:rsidR="00A16D70" w:rsidRPr="00A16D70" w:rsidRDefault="00A16D70" w:rsidP="00A16D70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A16D70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Radonstråling</w:t>
            </w:r>
          </w:p>
          <w:p w:rsidR="001E3757" w:rsidRPr="008012D2" w:rsidRDefault="00A16D70" w:rsidP="00A16D70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  <w:r w:rsidRPr="00A16D70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http://geo.ngu.no/kart/radon/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8E65F4" w:rsidRPr="006A653C" w:rsidRDefault="00A16D70" w:rsidP="006A653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A16D70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Ifølge NGUs aktsomhetskart for radon gjelder moderat til lav aktsomhet i planområdet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8E65F4" w:rsidRPr="00D17AF3" w:rsidRDefault="00A16D70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A16D70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A4C5A" w:rsidRDefault="00A16D70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D17AF3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330804" w:rsidRPr="00FC7A74" w:rsidTr="00430EE2">
        <w:trPr>
          <w:trHeight w:val="270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  <w:noWrap/>
            <w:vAlign w:val="center"/>
            <w:hideMark/>
          </w:tcPr>
          <w:p w:rsidR="00330804" w:rsidRPr="00FF10F7" w:rsidRDefault="00330804" w:rsidP="00D86D53">
            <w:pPr>
              <w:spacing w:after="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7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7"/>
                <w:lang w:eastAsia="nb-NO"/>
              </w:rPr>
              <w:t xml:space="preserve">VIRKSOMHETSRISIKO </w:t>
            </w:r>
          </w:p>
        </w:tc>
        <w:tc>
          <w:tcPr>
            <w:tcW w:w="708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330804" w:rsidRPr="00330804" w:rsidRDefault="00330804" w:rsidP="00330804">
            <w:pPr>
              <w:spacing w:after="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7"/>
                <w:lang w:eastAsia="nb-NO"/>
              </w:rPr>
              <w:t>Vurdering</w:t>
            </w:r>
            <w:r w:rsidRPr="00FC7A74">
              <w:rPr>
                <w:rFonts w:asciiTheme="majorHAnsi" w:eastAsia="Times New Roman" w:hAnsiTheme="majorHAnsi" w:cs="Arial"/>
                <w:sz w:val="17"/>
                <w:szCs w:val="17"/>
                <w:lang w:eastAsia="nb-NO"/>
              </w:rPr>
              <w:t> </w:t>
            </w:r>
          </w:p>
        </w:tc>
      </w:tr>
      <w:tr w:rsidR="008E65F4" w:rsidRPr="00FC7A74" w:rsidTr="005B2CEE">
        <w:trPr>
          <w:trHeight w:val="226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E65F4" w:rsidRPr="00FF10F7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</w:tcPr>
          <w:p w:rsidR="00CC5E9F" w:rsidRPr="00CC5E9F" w:rsidRDefault="00CC5E9F" w:rsidP="00CC5E9F">
            <w:pPr>
              <w:spacing w:after="0"/>
              <w:rPr>
                <w:rFonts w:asciiTheme="majorHAnsi" w:eastAsia="Times New Roman" w:hAnsiTheme="majorHAnsi" w:cs="Arial"/>
                <w:color w:val="000000"/>
                <w:sz w:val="8"/>
                <w:szCs w:val="17"/>
                <w:lang w:eastAsia="nb-NO"/>
              </w:rPr>
            </w:pPr>
            <w:r w:rsidRPr="00CC5E9F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Brann eller eksplosjon i virksomhet i nærheten eller i planområdet </w:t>
            </w:r>
          </w:p>
          <w:p w:rsidR="00CC5E9F" w:rsidRPr="00CC5E9F" w:rsidRDefault="00CC5E9F" w:rsidP="00CC5E9F">
            <w:pPr>
              <w:spacing w:after="0"/>
              <w:rPr>
                <w:rFonts w:asciiTheme="majorHAnsi" w:eastAsia="Times New Roman" w:hAnsiTheme="majorHAnsi" w:cs="Arial"/>
                <w:color w:val="000000"/>
                <w:sz w:val="8"/>
                <w:szCs w:val="17"/>
                <w:lang w:eastAsia="nb-NO"/>
              </w:rPr>
            </w:pPr>
          </w:p>
          <w:p w:rsidR="00CC5E9F" w:rsidRPr="00CC5E9F" w:rsidRDefault="00CC5E9F" w:rsidP="00CC5E9F">
            <w:pPr>
              <w:spacing w:after="0"/>
              <w:rPr>
                <w:rFonts w:asciiTheme="majorHAnsi" w:eastAsia="Times New Roman" w:hAnsiTheme="majorHAnsi" w:cs="Arial"/>
                <w:color w:val="000000"/>
                <w:sz w:val="8"/>
                <w:szCs w:val="17"/>
                <w:lang w:eastAsia="nb-NO"/>
              </w:rPr>
            </w:pPr>
          </w:p>
          <w:p w:rsidR="00CC5E9F" w:rsidRPr="00CC5E9F" w:rsidRDefault="00CC5E9F" w:rsidP="00CC5E9F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  <w:r w:rsidRPr="00CC5E9F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FAST - anlegg og kart (DSB)</w:t>
            </w:r>
          </w:p>
          <w:p w:rsidR="008E65F4" w:rsidRPr="007C63B5" w:rsidRDefault="00CC5E9F" w:rsidP="0077385C">
            <w:pPr>
              <w:rPr>
                <w:rFonts w:asciiTheme="majorHAnsi" w:eastAsia="Times New Roman" w:hAnsiTheme="majorHAnsi" w:cs="Arial"/>
                <w:color w:val="000000"/>
                <w:sz w:val="8"/>
                <w:szCs w:val="17"/>
                <w:lang w:eastAsia="nb-NO"/>
              </w:rPr>
            </w:pPr>
            <w:r w:rsidRPr="00CC5E9F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Lebesby brannvesen ROS 2019</w:t>
            </w:r>
          </w:p>
        </w:tc>
        <w:tc>
          <w:tcPr>
            <w:tcW w:w="3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65F4" w:rsidRPr="001F7105" w:rsidRDefault="00CC5E9F" w:rsidP="001F710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8"/>
                <w:szCs w:val="17"/>
                <w:lang w:eastAsia="nb-NO"/>
              </w:rPr>
            </w:pPr>
            <w:r w:rsidRPr="00CC5E9F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Det er ingen virksomheter som utgjør en særskilt brann- eller eksplosjonsfare for tiltak i planområdet.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E62D6F">
        <w:trPr>
          <w:trHeight w:val="1200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FF10F7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9</w:t>
            </w:r>
          </w:p>
        </w:tc>
        <w:tc>
          <w:tcPr>
            <w:tcW w:w="1705" w:type="dxa"/>
            <w:shd w:val="clear" w:color="auto" w:fill="auto"/>
            <w:hideMark/>
          </w:tcPr>
          <w:p w:rsidR="008E65F4" w:rsidRPr="00FF10F7" w:rsidRDefault="008E65F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Er det planlagt etablering av ny virksomhet som utgjør brannrisiko?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8E65F4" w:rsidRPr="00FF10F7" w:rsidRDefault="00CC5E9F" w:rsidP="00ED320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CC5E9F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Det planlegges ingen virksomheter som utgjør særskilt brannrisiko.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E62D6F">
        <w:trPr>
          <w:trHeight w:val="1920"/>
        </w:trPr>
        <w:tc>
          <w:tcPr>
            <w:tcW w:w="42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8E65F4" w:rsidRPr="00FF10F7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10</w:t>
            </w:r>
          </w:p>
        </w:tc>
        <w:tc>
          <w:tcPr>
            <w:tcW w:w="1705" w:type="dxa"/>
            <w:tcBorders>
              <w:bottom w:val="dotted" w:sz="4" w:space="0" w:color="auto"/>
            </w:tcBorders>
            <w:shd w:val="clear" w:color="auto" w:fill="auto"/>
            <w:hideMark/>
          </w:tcPr>
          <w:p w:rsidR="008E65F4" w:rsidRPr="00F4178E" w:rsidRDefault="008E65F4" w:rsidP="0077385C">
            <w:pPr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Kjemikalieutslipp eller annen akutt forurensning i virksomhet i nærheten eller i planområdet</w:t>
            </w:r>
            <w:r w:rsidRPr="00FF10F7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br/>
            </w:r>
            <w:r w:rsidRPr="00FF10F7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br/>
            </w:r>
            <w:r w:rsidRPr="00DD3F8A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FAST - anlegg og kart (DSB)</w:t>
            </w:r>
          </w:p>
        </w:tc>
        <w:tc>
          <w:tcPr>
            <w:tcW w:w="396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65F4" w:rsidRPr="00CC5E9F" w:rsidRDefault="00CC5E9F" w:rsidP="00CC5E9F">
            <w:pPr>
              <w:rPr>
                <w:rFonts w:asciiTheme="majorHAnsi" w:eastAsia="Times New Roman" w:hAnsiTheme="majorHAnsi" w:cs="Arial"/>
                <w:sz w:val="12"/>
                <w:szCs w:val="17"/>
                <w:lang w:eastAsia="nb-NO"/>
              </w:rPr>
            </w:pPr>
            <w:r w:rsidRPr="00CC5E9F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Det er ingen virksomheter i planområdets nærområde hvor det er fare for kjemikalieutslipp eller akutt forurensning.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B0F0"/>
                <w:sz w:val="18"/>
                <w:szCs w:val="17"/>
                <w:lang w:eastAsia="nb-NO"/>
              </w:rPr>
            </w:pPr>
          </w:p>
        </w:tc>
      </w:tr>
      <w:tr w:rsidR="008E65F4" w:rsidRPr="00FC7A74" w:rsidTr="00F4178E">
        <w:trPr>
          <w:trHeight w:val="519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8E65F4" w:rsidRPr="00FF10F7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11</w:t>
            </w:r>
          </w:p>
        </w:tc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8E65F4" w:rsidRPr="00FF10F7" w:rsidRDefault="008E65F4" w:rsidP="0077385C">
            <w:pPr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Ulykke ved transport av farlig gods</w:t>
            </w: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65F4" w:rsidRPr="000C2B4C" w:rsidRDefault="00CC5E9F" w:rsidP="001F7105">
            <w:pPr>
              <w:spacing w:after="0" w:line="240" w:lineRule="auto"/>
              <w:rPr>
                <w:rFonts w:asciiTheme="majorHAnsi" w:eastAsia="Times New Roman" w:hAnsiTheme="majorHAnsi" w:cs="Arial"/>
                <w:sz w:val="14"/>
                <w:szCs w:val="17"/>
                <w:lang w:eastAsia="nb-NO"/>
              </w:rPr>
            </w:pPr>
            <w:r w:rsidRPr="00CC5E9F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Ikke relevant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77385C">
        <w:trPr>
          <w:trHeight w:val="1122"/>
        </w:trPr>
        <w:tc>
          <w:tcPr>
            <w:tcW w:w="42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hideMark/>
          </w:tcPr>
          <w:p w:rsidR="008E65F4" w:rsidRPr="00FF10F7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12</w:t>
            </w:r>
          </w:p>
        </w:tc>
        <w:tc>
          <w:tcPr>
            <w:tcW w:w="1705" w:type="dxa"/>
            <w:tcBorders>
              <w:top w:val="dotted" w:sz="4" w:space="0" w:color="auto"/>
              <w:bottom w:val="nil"/>
            </w:tcBorders>
            <w:shd w:val="clear" w:color="auto" w:fill="auto"/>
            <w:hideMark/>
          </w:tcPr>
          <w:p w:rsidR="008E65F4" w:rsidRPr="00DD3F8A" w:rsidRDefault="00525B68" w:rsidP="0077385C">
            <w:pPr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Forurensning i</w:t>
            </w:r>
            <w:r w:rsidR="008E65F4" w:rsidRPr="00FF10F7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 grunn</w:t>
            </w:r>
            <w:r w:rsidR="008E65F4" w:rsidRPr="00FF10F7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br/>
            </w:r>
            <w:r w:rsidR="008E65F4" w:rsidRPr="00FF10F7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br/>
            </w:r>
            <w:r w:rsidR="008E65F4" w:rsidRPr="00DD3F8A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Grunnforurensnings</w:t>
            </w:r>
            <w:r w:rsidR="008E65F4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-</w:t>
            </w:r>
            <w:r w:rsidR="008E65F4" w:rsidRPr="00DD3F8A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databasen, Miljødirektoratet</w:t>
            </w:r>
          </w:p>
        </w:tc>
        <w:tc>
          <w:tcPr>
            <w:tcW w:w="3966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78E" w:rsidRDefault="00CC5E9F" w:rsidP="001F710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CC5E9F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Ingen forhold som tilsier at det skulle være grunnforurensning i planområdet.</w:t>
            </w:r>
          </w:p>
          <w:p w:rsidR="001F7105" w:rsidRDefault="001F7105" w:rsidP="00F4178E">
            <w:pP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  <w:p w:rsidR="00F4178E" w:rsidRPr="00F4178E" w:rsidRDefault="00F4178E" w:rsidP="0077385C">
            <w:pPr>
              <w:spacing w:after="0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E62D6F">
        <w:trPr>
          <w:trHeight w:val="675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FF10F7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13</w:t>
            </w:r>
          </w:p>
        </w:tc>
        <w:tc>
          <w:tcPr>
            <w:tcW w:w="1705" w:type="dxa"/>
            <w:shd w:val="clear" w:color="auto" w:fill="auto"/>
            <w:hideMark/>
          </w:tcPr>
          <w:p w:rsidR="008E65F4" w:rsidRPr="00FF10F7" w:rsidRDefault="00AF41C3" w:rsidP="00AF41C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Konsekvenser av industri: </w:t>
            </w:r>
            <w:r w:rsidR="00525B68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Støy</w:t>
            </w:r>
            <w:r w:rsidR="00866FAA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 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8E65F4" w:rsidRPr="00084699" w:rsidRDefault="00EC2B1B" w:rsidP="0077385C">
            <w:pPr>
              <w:spacing w:line="240" w:lineRule="auto"/>
              <w:rPr>
                <w:rFonts w:asciiTheme="majorHAnsi" w:eastAsia="Times New Roman" w:hAnsiTheme="majorHAnsi" w:cs="Arial"/>
                <w:sz w:val="14"/>
                <w:szCs w:val="17"/>
                <w:lang w:eastAsia="nb-NO"/>
              </w:rPr>
            </w:pPr>
            <w:r w:rsidRPr="00EC2B1B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Planen medfører ikke etablering av støyende virksomhet, eller etablering av støyfølsomme tiltak i rød/gul sone.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EC2B1B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EC2B1B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EC2B1B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E62D6F">
        <w:trPr>
          <w:trHeight w:val="1110"/>
        </w:trPr>
        <w:tc>
          <w:tcPr>
            <w:tcW w:w="42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8E65F4" w:rsidRPr="00FF10F7" w:rsidRDefault="00AF41C3" w:rsidP="00EC2B1B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  <w:r w:rsidR="00EC2B1B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4</w:t>
            </w:r>
          </w:p>
        </w:tc>
        <w:tc>
          <w:tcPr>
            <w:tcW w:w="1705" w:type="dxa"/>
            <w:tcBorders>
              <w:bottom w:val="dotted" w:sz="4" w:space="0" w:color="auto"/>
            </w:tcBorders>
            <w:shd w:val="clear" w:color="auto" w:fill="auto"/>
            <w:hideMark/>
          </w:tcPr>
          <w:p w:rsidR="008E65F4" w:rsidRPr="00FF10F7" w:rsidRDefault="008E65F4" w:rsidP="0077385C">
            <w:pPr>
              <w:spacing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FF10F7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Påvirkning fra elektromagnetiske felt</w:t>
            </w:r>
            <w:r w:rsidRPr="00FF10F7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br/>
            </w:r>
            <w:r w:rsidRPr="00FF10F7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br/>
            </w:r>
            <w:r w:rsidRPr="00DD3F8A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NVE, høyspentledningskart</w:t>
            </w:r>
            <w:r w:rsidRPr="00DD3F8A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br/>
              <w:t>Lebesby kpa</w:t>
            </w:r>
          </w:p>
        </w:tc>
        <w:tc>
          <w:tcPr>
            <w:tcW w:w="396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65F4" w:rsidRPr="00FF10F7" w:rsidRDefault="00F4178E" w:rsidP="001F710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F4178E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Planområde ligger utenfor faresone for høyspenningsanlegg (faresone H370 i kpa).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F4178E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F4178E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F4178E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650A0C">
        <w:trPr>
          <w:trHeight w:val="1687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8E65F4" w:rsidRPr="00FF10F7" w:rsidRDefault="00AF41C3" w:rsidP="00EC2B1B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lastRenderedPageBreak/>
              <w:t>1</w:t>
            </w:r>
            <w:r w:rsidR="00EC2B1B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5</w:t>
            </w:r>
          </w:p>
        </w:tc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8E65F4" w:rsidRPr="00A219F6" w:rsidRDefault="008E65F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nb-NO"/>
              </w:rPr>
            </w:pPr>
            <w:r w:rsidRPr="00A219F6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nb-NO"/>
              </w:rPr>
              <w:t>Trafikkfare</w:t>
            </w:r>
          </w:p>
          <w:p w:rsidR="00DF1A01" w:rsidRPr="00A219F6" w:rsidRDefault="00DF1A01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nb-NO"/>
              </w:rPr>
            </w:pPr>
          </w:p>
          <w:p w:rsidR="00A219F6" w:rsidRDefault="00A219F6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8"/>
                <w:lang w:eastAsia="nb-NO"/>
              </w:rPr>
            </w:pPr>
          </w:p>
          <w:p w:rsidR="00A219F6" w:rsidRDefault="00A219F6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8"/>
                <w:lang w:eastAsia="nb-NO"/>
              </w:rPr>
            </w:pPr>
          </w:p>
          <w:p w:rsidR="00A219F6" w:rsidRDefault="00A219F6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8"/>
                <w:lang w:eastAsia="nb-NO"/>
              </w:rPr>
            </w:pPr>
          </w:p>
          <w:p w:rsidR="00DF1A01" w:rsidRPr="00A219F6" w:rsidRDefault="00DF1A01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nb-NO"/>
              </w:rPr>
            </w:pPr>
            <w:r w:rsidRPr="00A219F6">
              <w:rPr>
                <w:rFonts w:asciiTheme="majorHAnsi" w:eastAsia="Times New Roman" w:hAnsiTheme="majorHAnsi" w:cs="Arial"/>
                <w:color w:val="000000"/>
                <w:sz w:val="16"/>
                <w:szCs w:val="18"/>
                <w:lang w:eastAsia="nb-NO"/>
              </w:rPr>
              <w:t>Statens Vegvesen, vegkart.no – 570 Trafikkulykke</w:t>
            </w: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276B1" w:rsidRPr="009276B1" w:rsidRDefault="009276B1" w:rsidP="009276B1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 w:rsidRPr="009276B1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Planforslaget medfører ingen særskilt trafikkfare i selve planområdet. Veiløsninger bør følge Statens Vegvesens håndbøker.</w:t>
            </w:r>
          </w:p>
          <w:p w:rsidR="008E65F4" w:rsidRPr="00803A9C" w:rsidRDefault="009276B1" w:rsidP="0077385C">
            <w:pPr>
              <w:spacing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 w:rsidRPr="009276B1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Statens Vegvesen og Troms og Finnmark fylkeskommune påpekte i sine uttalelser til varsel om oppstart at hensynet til myke trafikanter og trygg skolevei, spesielt langs fylkesvei 888, må vektlegges i planarbeidet.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8E65F4" w:rsidRPr="00FF10F7" w:rsidRDefault="00650A0C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  <w:noWrap/>
            <w:vAlign w:val="center"/>
          </w:tcPr>
          <w:p w:rsidR="008E65F4" w:rsidRPr="00FF10F7" w:rsidRDefault="00650A0C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65F4" w:rsidRPr="00FF10F7" w:rsidRDefault="00650A0C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650A0C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</w:p>
        </w:tc>
      </w:tr>
      <w:tr w:rsidR="008E65F4" w:rsidRPr="00FC7A74" w:rsidTr="00CC5E9F">
        <w:trPr>
          <w:trHeight w:val="370"/>
        </w:trPr>
        <w:tc>
          <w:tcPr>
            <w:tcW w:w="420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8E65F4" w:rsidRPr="00FF10F7" w:rsidRDefault="00AF41C3" w:rsidP="00EC2B1B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  <w:r w:rsidR="00EC2B1B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6</w:t>
            </w:r>
          </w:p>
        </w:tc>
        <w:tc>
          <w:tcPr>
            <w:tcW w:w="1705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CC5E9F" w:rsidRPr="00CC5E9F" w:rsidRDefault="00CC5E9F" w:rsidP="00CC5E9F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nb-NO"/>
              </w:rPr>
              <w:t>Skipsfart</w:t>
            </w:r>
          </w:p>
        </w:tc>
        <w:tc>
          <w:tcPr>
            <w:tcW w:w="396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8E65F4" w:rsidRPr="00CC2E65" w:rsidRDefault="00CC5E9F" w:rsidP="00CC2E6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 w:rsidRPr="00CC5E9F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Ikke relevant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E62D6F">
        <w:trPr>
          <w:trHeight w:val="510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E65F4" w:rsidRPr="00FF10F7" w:rsidRDefault="00AF41C3" w:rsidP="00EC2B1B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  <w:r w:rsidR="00EC2B1B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7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E65F4" w:rsidRPr="00803A9C" w:rsidRDefault="008E65F4" w:rsidP="0077385C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nb-NO"/>
              </w:rPr>
            </w:pPr>
            <w:r w:rsidRPr="00803A9C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nb-NO"/>
              </w:rPr>
              <w:t>Spesiell fare for terror og kriminalitet</w:t>
            </w:r>
          </w:p>
        </w:tc>
        <w:tc>
          <w:tcPr>
            <w:tcW w:w="3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F4" w:rsidRPr="00803A9C" w:rsidRDefault="00CC5E9F" w:rsidP="001F710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Ingen særskilt utsatte virksomheter i planområdet.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CC5E9F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FF10F7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330804">
        <w:trPr>
          <w:trHeight w:val="270"/>
        </w:trPr>
        <w:tc>
          <w:tcPr>
            <w:tcW w:w="609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hideMark/>
          </w:tcPr>
          <w:p w:rsidR="008E65F4" w:rsidRPr="00C3331C" w:rsidRDefault="008E65F4" w:rsidP="00D86D53">
            <w:pPr>
              <w:spacing w:after="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7"/>
                <w:lang w:eastAsia="nb-NO"/>
              </w:rPr>
            </w:pPr>
            <w:r w:rsidRPr="00C3331C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7"/>
                <w:lang w:eastAsia="nb-NO"/>
              </w:rPr>
              <w:t xml:space="preserve">BEREDSKAPSTILTAK AV BETYDNING FOR AREALPLANLEGGING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color w:val="808080"/>
                <w:sz w:val="17"/>
                <w:szCs w:val="17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color w:val="80808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color w:val="808080"/>
                <w:sz w:val="17"/>
                <w:szCs w:val="17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color w:val="80808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7"/>
                <w:szCs w:val="17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7"/>
                <w:szCs w:val="17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sz w:val="17"/>
                <w:szCs w:val="17"/>
                <w:lang w:eastAsia="nb-NO"/>
              </w:rPr>
              <w:t> </w:t>
            </w:r>
          </w:p>
        </w:tc>
      </w:tr>
      <w:tr w:rsidR="008E65F4" w:rsidRPr="00FC7A74" w:rsidTr="00395E3E">
        <w:trPr>
          <w:trHeight w:val="141"/>
        </w:trPr>
        <w:tc>
          <w:tcPr>
            <w:tcW w:w="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8E65F4" w:rsidRPr="00AD71B5" w:rsidRDefault="0077385C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8E65F4" w:rsidRPr="00AD71B5" w:rsidRDefault="008E65F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Responstid ambulanse</w:t>
            </w:r>
          </w:p>
        </w:tc>
        <w:tc>
          <w:tcPr>
            <w:tcW w:w="39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3757" w:rsidRPr="001E3757" w:rsidRDefault="00395E3E" w:rsidP="00395E3E">
            <w:pPr>
              <w:spacing w:line="240" w:lineRule="auto"/>
              <w:rPr>
                <w:rFonts w:asciiTheme="majorHAnsi" w:eastAsia="Times New Roman" w:hAnsiTheme="majorHAnsi" w:cs="Arial"/>
                <w:sz w:val="12"/>
                <w:szCs w:val="17"/>
                <w:lang w:eastAsia="nb-NO"/>
              </w:rPr>
            </w:pPr>
            <w:r w:rsidRPr="00395E3E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Kjøretid fra ambulansebase i Kjøllefjord til Lebesby er på over en time. Vinterstid kan strekningen ta lenger tid, og i noen uværsperioder er fylkesvei 888 midlertidig stengt. I akuttilfeller rekvireres redningshelikopter fra Banak. I begge tilfeller vil responstiden overskride det Stortinget har vedtatt som anbefalt responstid for akuttoppdrag i grisgrendte strøk (25 minutter, i 90 prosent av tilfellene).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0000"/>
            <w:noWrap/>
            <w:vAlign w:val="center"/>
          </w:tcPr>
          <w:p w:rsidR="008E65F4" w:rsidRPr="00AD71B5" w:rsidRDefault="00395E3E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00"/>
            <w:noWrap/>
            <w:vAlign w:val="center"/>
          </w:tcPr>
          <w:p w:rsidR="008E65F4" w:rsidRPr="00AD71B5" w:rsidRDefault="00395E3E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E65F4" w:rsidRPr="00FA4C5A" w:rsidRDefault="00395E3E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395E3E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3</w:t>
            </w:r>
          </w:p>
        </w:tc>
      </w:tr>
      <w:tr w:rsidR="00D06151" w:rsidRPr="00FC7A74" w:rsidTr="00752982">
        <w:trPr>
          <w:trHeight w:val="111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D06151" w:rsidRPr="00AD71B5" w:rsidRDefault="0077385C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19</w:t>
            </w:r>
          </w:p>
        </w:tc>
        <w:tc>
          <w:tcPr>
            <w:tcW w:w="1705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D06151" w:rsidRPr="00AD71B5" w:rsidRDefault="00D06151" w:rsidP="00D06151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Dimensjonering </w:t>
            </w:r>
            <w:r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brannberedskap,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responstid brannvesen</w:t>
            </w: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3757" w:rsidRPr="001E3757" w:rsidRDefault="00395E3E" w:rsidP="00F10FAE">
            <w:pPr>
              <w:spacing w:after="0" w:line="240" w:lineRule="auto"/>
              <w:rPr>
                <w:rFonts w:asciiTheme="majorHAnsi" w:eastAsia="Times New Roman" w:hAnsiTheme="majorHAnsi" w:cs="Arial"/>
                <w:sz w:val="12"/>
                <w:szCs w:val="17"/>
                <w:lang w:eastAsia="nb-NO"/>
              </w:rPr>
            </w:pPr>
            <w:r w:rsidRPr="00395E3E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Responstid fra Lebesby underbrannstasjon (med 8 deltidsstillinger) er innenfor krav om maks. utrykningstid på 30 minutter. Responstid fra Kjøllefjord brannstasjon er på over en time.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noWrap/>
            <w:vAlign w:val="center"/>
          </w:tcPr>
          <w:p w:rsidR="00D06151" w:rsidRPr="00AD71B5" w:rsidRDefault="00395E3E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01578A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395E3E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7F" w:rsidRPr="00E75E7F" w:rsidRDefault="00E75E7F" w:rsidP="00E75E7F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D06151" w:rsidRPr="00FC7A74" w:rsidTr="001B3ED1">
        <w:trPr>
          <w:trHeight w:val="1051"/>
        </w:trPr>
        <w:tc>
          <w:tcPr>
            <w:tcW w:w="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6151" w:rsidRPr="00AD71B5" w:rsidRDefault="00AF41C3" w:rsidP="0077385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  <w:r w:rsidR="0077385C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06151" w:rsidRPr="00AD71B5" w:rsidRDefault="00D06151" w:rsidP="003E184A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S</w:t>
            </w:r>
            <w:r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l</w:t>
            </w:r>
            <w:r w:rsidR="003E184A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o</w:t>
            </w:r>
            <w:r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kkevannskapasitet</w:t>
            </w:r>
          </w:p>
        </w:tc>
        <w:tc>
          <w:tcPr>
            <w:tcW w:w="39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51" w:rsidRDefault="001B3ED1" w:rsidP="00395E3E">
            <w:pPr>
              <w:spacing w:line="240" w:lineRule="auto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 xml:space="preserve">Slokkevannskapasiteten er tilfredsstillende.  </w:t>
            </w:r>
            <w:r w:rsidR="00395E3E" w:rsidRPr="00395E3E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 xml:space="preserve">Utbygging av planområdet vil kreve etablering av VA-infrastruktur. I </w:t>
            </w:r>
            <w:r w:rsidR="00A90E27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beregningene av dimensjon</w:t>
            </w:r>
            <w:r w:rsidR="00395E3E" w:rsidRPr="00395E3E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 xml:space="preserve"> må også slokkevannskapasitet </w:t>
            </w:r>
            <w:r w:rsidR="00A90E27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hensyntas</w:t>
            </w:r>
            <w:r w:rsidR="00395E3E" w:rsidRPr="00395E3E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.</w:t>
            </w:r>
            <w:r w:rsidR="00CB6B3F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 xml:space="preserve"> </w:t>
            </w:r>
          </w:p>
          <w:p w:rsidR="00CB6B3F" w:rsidRPr="00AD71B5" w:rsidRDefault="00CB6B3F" w:rsidP="00CB6B3F">
            <w:pPr>
              <w:spacing w:line="240" w:lineRule="auto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 xml:space="preserve">Detaljreguleringen legger opp til store tomter med god avstand mellom boligene. Faren for brann med spredning vurderes derfor som minimal. 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D06151" w:rsidRPr="00AD71B5" w:rsidRDefault="001B3ED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6151" w:rsidRPr="00752982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D06151" w:rsidRPr="00AD71B5" w:rsidRDefault="001B3ED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06151" w:rsidRPr="00FA4C5A" w:rsidRDefault="001B3ED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6151" w:rsidRPr="00AD71B5" w:rsidRDefault="00D0615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330804">
        <w:trPr>
          <w:trHeight w:val="270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rPr>
                <w:rFonts w:asciiTheme="majorHAnsi" w:eastAsia="Times New Roman" w:hAnsiTheme="majorHAnsi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132929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7"/>
                <w:lang w:eastAsia="nb-NO"/>
              </w:rPr>
              <w:t xml:space="preserve">SÅRBARE OBJEKTER 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8E65F4" w:rsidRPr="00FC7A74" w:rsidRDefault="008E65F4" w:rsidP="00D86D53">
            <w:pPr>
              <w:spacing w:after="0"/>
              <w:rPr>
                <w:rFonts w:asciiTheme="majorHAnsi" w:eastAsia="Times New Roman" w:hAnsiTheme="majorHAnsi" w:cs="Arial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992A3D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7"/>
                <w:lang w:eastAsia="nb-NO"/>
              </w:rPr>
              <w:t> Vurdering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color w:val="808080"/>
                <w:sz w:val="17"/>
                <w:szCs w:val="17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color w:val="80808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color w:val="808080"/>
                <w:sz w:val="17"/>
                <w:szCs w:val="17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color w:val="80808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8E65F4" w:rsidRPr="00FC7A74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7"/>
                <w:szCs w:val="17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65F4" w:rsidRPr="00FC7A74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7"/>
                <w:szCs w:val="17"/>
                <w:lang w:eastAsia="nb-NO"/>
              </w:rPr>
            </w:pPr>
            <w:r w:rsidRPr="00FC7A74">
              <w:rPr>
                <w:rFonts w:asciiTheme="majorHAnsi" w:eastAsia="Times New Roman" w:hAnsiTheme="majorHAnsi" w:cs="Arial"/>
                <w:sz w:val="17"/>
                <w:szCs w:val="17"/>
                <w:lang w:eastAsia="nb-NO"/>
              </w:rPr>
              <w:t> </w:t>
            </w:r>
          </w:p>
        </w:tc>
      </w:tr>
      <w:tr w:rsidR="008E65F4" w:rsidRPr="00FC7A74" w:rsidTr="006A2A01">
        <w:trPr>
          <w:trHeight w:val="960"/>
        </w:trPr>
        <w:tc>
          <w:tcPr>
            <w:tcW w:w="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8E65F4" w:rsidRPr="00AD71B5" w:rsidRDefault="00D62E98" w:rsidP="0077385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  <w:r w:rsidR="0077385C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8E65F4" w:rsidRPr="00AD71B5" w:rsidRDefault="008E65F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Naturverdier</w:t>
            </w:r>
          </w:p>
        </w:tc>
        <w:tc>
          <w:tcPr>
            <w:tcW w:w="39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F4" w:rsidRPr="00AD71B5" w:rsidRDefault="008E65F4" w:rsidP="00E61034">
            <w:pPr>
              <w:spacing w:line="240" w:lineRule="auto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 xml:space="preserve">Planforslaget vurderes ikke å gi økt risiko for ødeleggelse eller verdiforringelse av naturvernområder, andre viktige naturområder, rekreasjons- eller friluftsområder.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6A2A01" w:rsidRPr="00FC7A74" w:rsidTr="00430EE2">
        <w:trPr>
          <w:trHeight w:val="567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6A2A01" w:rsidRPr="00AD71B5" w:rsidRDefault="006A2A01" w:rsidP="0077385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22</w:t>
            </w:r>
          </w:p>
        </w:tc>
        <w:tc>
          <w:tcPr>
            <w:tcW w:w="1705" w:type="dxa"/>
            <w:vMerge w:val="restart"/>
            <w:tcBorders>
              <w:top w:val="dotted" w:sz="4" w:space="0" w:color="auto"/>
            </w:tcBorders>
            <w:shd w:val="clear" w:color="auto" w:fill="auto"/>
            <w:hideMark/>
          </w:tcPr>
          <w:p w:rsidR="006A2A01" w:rsidRPr="00AD71B5" w:rsidRDefault="006A2A01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Kulturminner</w:t>
            </w:r>
          </w:p>
          <w:p w:rsidR="006A2A01" w:rsidRDefault="006A2A01" w:rsidP="006A2A01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</w:p>
          <w:p w:rsidR="006A2A01" w:rsidRDefault="006A2A01" w:rsidP="006A2A01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</w:p>
          <w:p w:rsidR="006A2A01" w:rsidRDefault="006A2A01" w:rsidP="006A2A01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</w:p>
          <w:p w:rsidR="006A2A01" w:rsidRDefault="006A2A01" w:rsidP="006A2A01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</w:p>
          <w:p w:rsidR="006A2A01" w:rsidRDefault="006A2A01" w:rsidP="006A2A01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</w:p>
          <w:p w:rsidR="006A2A01" w:rsidRDefault="006A2A01" w:rsidP="006A2A01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</w:p>
          <w:p w:rsidR="006A2A01" w:rsidRDefault="006A2A01" w:rsidP="006A2A01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</w:p>
          <w:p w:rsidR="006A2A01" w:rsidRPr="006A2A01" w:rsidRDefault="006A2A01" w:rsidP="006A2A01">
            <w:pPr>
              <w:spacing w:after="0"/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</w:pPr>
            <w:r w:rsidRPr="006A2A01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Riksantikvaren: Askeladden</w:t>
            </w:r>
          </w:p>
          <w:p w:rsidR="006A2A01" w:rsidRPr="00AD71B5" w:rsidRDefault="006A2A01" w:rsidP="006A2A01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6A2A01">
              <w:rPr>
                <w:rFonts w:asciiTheme="majorHAnsi" w:eastAsia="Times New Roman" w:hAnsiTheme="majorHAnsi" w:cs="Arial"/>
                <w:color w:val="000000"/>
                <w:sz w:val="16"/>
                <w:szCs w:val="17"/>
                <w:lang w:eastAsia="nb-NO"/>
              </w:rPr>
              <w:t>Sametinget: Kulturminnebefaring av området</w:t>
            </w: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01" w:rsidRPr="001E3757" w:rsidRDefault="006A2A01" w:rsidP="006A2A01">
            <w:pPr>
              <w:spacing w:after="0" w:line="240" w:lineRule="auto"/>
              <w:rPr>
                <w:rFonts w:asciiTheme="majorHAnsi" w:eastAsia="Times New Roman" w:hAnsiTheme="majorHAnsi" w:cs="Arial"/>
                <w:sz w:val="12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 xml:space="preserve">Planforslaget vurderes å ikke gi økt risiko for ødeleggelse eller skjemming av kjente objekter/områder med stor kulturhistorisk verdi. </w:t>
            </w: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br/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6A2A01" w:rsidRPr="00FC7A74" w:rsidTr="00E75E7F">
        <w:trPr>
          <w:trHeight w:val="1095"/>
        </w:trPr>
        <w:tc>
          <w:tcPr>
            <w:tcW w:w="420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6A2A01" w:rsidRPr="00AD71B5" w:rsidRDefault="006A2A01" w:rsidP="0077385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23</w:t>
            </w:r>
          </w:p>
        </w:tc>
        <w:tc>
          <w:tcPr>
            <w:tcW w:w="1705" w:type="dxa"/>
            <w:vMerge/>
            <w:shd w:val="clear" w:color="auto" w:fill="auto"/>
            <w:hideMark/>
          </w:tcPr>
          <w:p w:rsidR="006A2A01" w:rsidRPr="00AD71B5" w:rsidRDefault="006A2A01" w:rsidP="006A2A01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</w:tc>
        <w:tc>
          <w:tcPr>
            <w:tcW w:w="396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01" w:rsidRDefault="006A2A01" w:rsidP="00E074C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Planforslaget vurderes å ikke gi vesentlig økt risiko for ødeleggelse eller skjemming av ikke-kjente automatisk fredete kulturminner, men tiltakshavere er pliktig å følge aktsomhets- og meldeplikt ved tiltak.</w:t>
            </w:r>
          </w:p>
          <w:p w:rsidR="006A2A01" w:rsidRPr="001E3757" w:rsidRDefault="006A2A01" w:rsidP="00E074CA">
            <w:pPr>
              <w:spacing w:after="0" w:line="240" w:lineRule="auto"/>
              <w:rPr>
                <w:rFonts w:asciiTheme="majorHAnsi" w:eastAsia="Times New Roman" w:hAnsiTheme="majorHAnsi" w:cs="Arial"/>
                <w:sz w:val="12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noWrap/>
            <w:vAlign w:val="center"/>
          </w:tcPr>
          <w:p w:rsidR="006A2A01" w:rsidRPr="00AD71B5" w:rsidRDefault="000928ED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92D050"/>
            <w:noWrap/>
            <w:vAlign w:val="center"/>
          </w:tcPr>
          <w:p w:rsidR="006A2A01" w:rsidRPr="00AD71B5" w:rsidRDefault="000928ED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A2A01" w:rsidRPr="00AD71B5" w:rsidRDefault="000928ED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6A2A01" w:rsidRPr="00FC7A74" w:rsidTr="00430EE2">
        <w:trPr>
          <w:trHeight w:val="850"/>
        </w:trPr>
        <w:tc>
          <w:tcPr>
            <w:tcW w:w="420" w:type="dxa"/>
            <w:shd w:val="clear" w:color="auto" w:fill="auto"/>
            <w:noWrap/>
            <w:hideMark/>
          </w:tcPr>
          <w:p w:rsidR="006A2A01" w:rsidRPr="00AD71B5" w:rsidRDefault="006A2A01" w:rsidP="0077385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24</w:t>
            </w:r>
          </w:p>
        </w:tc>
        <w:tc>
          <w:tcPr>
            <w:tcW w:w="1705" w:type="dxa"/>
            <w:vMerge/>
            <w:shd w:val="clear" w:color="auto" w:fill="auto"/>
            <w:hideMark/>
          </w:tcPr>
          <w:p w:rsidR="006A2A01" w:rsidRPr="00AD71B5" w:rsidRDefault="006A2A01" w:rsidP="006A2A01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A2A01" w:rsidRPr="00AD71B5" w:rsidRDefault="006A2A01" w:rsidP="00E074C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Planforslaget vurder</w:t>
            </w: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es å ikke gi økt risiko for riv</w:t>
            </w:r>
            <w:r w:rsidRPr="00AD71B5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ing, ødelegging eller skjemming av verneverdige bygninger eller anlegg.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5226FB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5226FB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5226FB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A2A01" w:rsidRPr="00AD71B5" w:rsidRDefault="006A2A0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FA4C5A">
        <w:trPr>
          <w:trHeight w:val="548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AD71B5" w:rsidRDefault="00D62E98" w:rsidP="0077385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  <w:r w:rsidR="0077385C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5</w:t>
            </w:r>
          </w:p>
        </w:tc>
        <w:tc>
          <w:tcPr>
            <w:tcW w:w="1705" w:type="dxa"/>
            <w:shd w:val="clear" w:color="auto" w:fill="auto"/>
            <w:hideMark/>
          </w:tcPr>
          <w:p w:rsidR="008E65F4" w:rsidRPr="00AD71B5" w:rsidRDefault="008E65F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Helse- og omsorgsinstitusjoner 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65F4" w:rsidRPr="00AD71B5" w:rsidRDefault="00D23061" w:rsidP="00E61034">
            <w:pPr>
              <w:spacing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D23061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Planområdet har ingen sentrale institusjoner som sykehjem, omsorgsboliger, skoler eller barnehage.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D2306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D2306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D2306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FA4C5A">
        <w:trPr>
          <w:trHeight w:val="480"/>
        </w:trPr>
        <w:tc>
          <w:tcPr>
            <w:tcW w:w="42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8E65F4" w:rsidRPr="00AD71B5" w:rsidRDefault="00D62E98" w:rsidP="0077385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  <w:r w:rsidR="0077385C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6</w:t>
            </w:r>
          </w:p>
        </w:tc>
        <w:tc>
          <w:tcPr>
            <w:tcW w:w="1705" w:type="dxa"/>
            <w:tcBorders>
              <w:bottom w:val="dotted" w:sz="4" w:space="0" w:color="auto"/>
            </w:tcBorders>
            <w:shd w:val="clear" w:color="auto" w:fill="auto"/>
            <w:hideMark/>
          </w:tcPr>
          <w:p w:rsidR="008E65F4" w:rsidRPr="00AD71B5" w:rsidRDefault="008E65F4" w:rsidP="00E61034">
            <w:pPr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Viktige offentlige bygninger </w:t>
            </w:r>
          </w:p>
        </w:tc>
        <w:tc>
          <w:tcPr>
            <w:tcW w:w="396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F4" w:rsidRPr="00D23061" w:rsidRDefault="00D23061" w:rsidP="0055706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D23061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Planområdet har ingen offentlige administrasjonsbygg.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D2306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D2306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D2306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FA4C5A">
        <w:trPr>
          <w:trHeight w:val="567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8E65F4" w:rsidRPr="00AD71B5" w:rsidRDefault="00D62E98" w:rsidP="0077385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lastRenderedPageBreak/>
              <w:t>2</w:t>
            </w:r>
            <w:r w:rsidR="0077385C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7</w:t>
            </w:r>
          </w:p>
        </w:tc>
        <w:tc>
          <w:tcPr>
            <w:tcW w:w="17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8E65F4" w:rsidRPr="00AD71B5" w:rsidRDefault="008E65F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Trafikknutepunkt og samferdselsårer</w:t>
            </w: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F4" w:rsidRPr="00D23061" w:rsidRDefault="00D23061" w:rsidP="0055706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D23061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Planområdet inneholder ingen trafikknutepunkt eller samferdselsårer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D2306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D2306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D23061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557061">
        <w:trPr>
          <w:trHeight w:val="689"/>
        </w:trPr>
        <w:tc>
          <w:tcPr>
            <w:tcW w:w="420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126EA5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</w:t>
            </w:r>
            <w:r w:rsidR="0077385C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8</w:t>
            </w:r>
          </w:p>
          <w:p w:rsidR="008E65F4" w:rsidRPr="00126EA5" w:rsidRDefault="008E65F4" w:rsidP="00126EA5">
            <w:pP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8E65F4" w:rsidRPr="00557061" w:rsidRDefault="00985641" w:rsidP="00557061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El-</w:t>
            </w:r>
            <w:r w:rsidR="008E65F4"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forsyning </w:t>
            </w:r>
          </w:p>
        </w:tc>
        <w:tc>
          <w:tcPr>
            <w:tcW w:w="396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F4" w:rsidRPr="00D23061" w:rsidRDefault="0069457A" w:rsidP="008A3890">
            <w:pP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69457A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Eksisterende nett har kapasitet til boligfeltet, men det må bygges ut el-infrastruktur i</w:t>
            </w:r>
            <w:r w:rsidR="00B27B80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 xml:space="preserve"> planområdet. </w:t>
            </w: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Det er ingen forhold i området som tilsier at elforsyningen vil være særlig utsatt.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464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464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464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126EA5" w:rsidRDefault="008E65F4" w:rsidP="00126EA5">
            <w:pP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A41555">
        <w:trPr>
          <w:trHeight w:val="479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AD71B5" w:rsidRDefault="0077385C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29</w:t>
            </w:r>
          </w:p>
        </w:tc>
        <w:tc>
          <w:tcPr>
            <w:tcW w:w="1705" w:type="dxa"/>
            <w:shd w:val="clear" w:color="auto" w:fill="auto"/>
            <w:hideMark/>
          </w:tcPr>
          <w:p w:rsidR="008E65F4" w:rsidRPr="00AD71B5" w:rsidRDefault="008E65F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Drikkevannsforsyning 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47A24" w:rsidRPr="00F47A24" w:rsidRDefault="00F47A24" w:rsidP="00F47A2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F47A24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Utbygging av området vil ikke påvirke drikkevannskilder direkte. </w:t>
            </w:r>
          </w:p>
          <w:p w:rsidR="008E65F4" w:rsidRPr="00D23061" w:rsidRDefault="00F47A24" w:rsidP="00F47A24">
            <w:pPr>
              <w:spacing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F47A24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Utbygging av pl</w:t>
            </w:r>
            <w:r w:rsidR="00B27B80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anområdet vil kreve etablering av</w:t>
            </w:r>
            <w:r w:rsidRPr="00F47A24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 infras</w:t>
            </w:r>
            <w:r w:rsidR="00B27B80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truktur for vannforsyning</w:t>
            </w:r>
            <w:r w:rsidRPr="00F47A24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. Se også vurdering av slokkevannskapasitet.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  <w:noWrap/>
            <w:vAlign w:val="center"/>
          </w:tcPr>
          <w:p w:rsidR="008E65F4" w:rsidRPr="00AD71B5" w:rsidRDefault="00E6103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92D050"/>
            <w:noWrap/>
            <w:vAlign w:val="center"/>
          </w:tcPr>
          <w:p w:rsidR="008E65F4" w:rsidRPr="00AD71B5" w:rsidRDefault="00E6103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E65F4" w:rsidRPr="00AD71B5" w:rsidRDefault="00E6103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3E02E8">
        <w:trPr>
          <w:trHeight w:val="636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AD71B5" w:rsidRDefault="005B4274" w:rsidP="0077385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3</w:t>
            </w:r>
            <w:r w:rsidR="0077385C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1705" w:type="dxa"/>
            <w:shd w:val="clear" w:color="auto" w:fill="auto"/>
            <w:hideMark/>
          </w:tcPr>
          <w:p w:rsidR="008E65F4" w:rsidRPr="00AD71B5" w:rsidRDefault="008E65F4" w:rsidP="00D86D53">
            <w:pPr>
              <w:spacing w:after="0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AD71B5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Avløp og overvannshåndtering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</w:tcPr>
          <w:p w:rsidR="005C2A58" w:rsidRPr="008A2274" w:rsidRDefault="005C2A58" w:rsidP="005C2A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</w:pPr>
            <w:r w:rsidRPr="008A2274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Planen krever utbygging av </w:t>
            </w:r>
            <w:r w:rsidR="00051DCB" w:rsidRPr="008A2274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>private septiktanker</w:t>
            </w:r>
            <w:r w:rsidRPr="008A2274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 i planområdet. Dimensjonering</w:t>
            </w:r>
            <w:r w:rsidR="00051DCB" w:rsidRPr="008A2274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 av overvannshåndtering</w:t>
            </w:r>
            <w:r w:rsidRPr="008A2274">
              <w:rPr>
                <w:rFonts w:asciiTheme="majorHAnsi" w:eastAsia="Times New Roman" w:hAnsiTheme="majorHAnsi" w:cs="Arial"/>
                <w:color w:val="000000"/>
                <w:sz w:val="18"/>
                <w:szCs w:val="17"/>
                <w:lang w:eastAsia="nb-NO"/>
              </w:rPr>
              <w:t xml:space="preserve"> må ta høyde for fremtidige klimaendringer.</w:t>
            </w:r>
          </w:p>
          <w:p w:rsidR="00D742B5" w:rsidRPr="008A2274" w:rsidRDefault="00D742B5" w:rsidP="005C2A5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0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92D050"/>
            <w:noWrap/>
            <w:vAlign w:val="center"/>
          </w:tcPr>
          <w:p w:rsidR="008E65F4" w:rsidRPr="00AD71B5" w:rsidRDefault="005C2A58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92D050"/>
            <w:noWrap/>
            <w:vAlign w:val="center"/>
          </w:tcPr>
          <w:p w:rsidR="008E65F4" w:rsidRPr="00AD71B5" w:rsidRDefault="005C2A58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E65F4" w:rsidRPr="00AD71B5" w:rsidRDefault="005C2A58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  <w:tr w:rsidR="008E65F4" w:rsidRPr="00FC7A74" w:rsidTr="00A41555">
        <w:trPr>
          <w:trHeight w:val="901"/>
        </w:trPr>
        <w:tc>
          <w:tcPr>
            <w:tcW w:w="420" w:type="dxa"/>
            <w:shd w:val="clear" w:color="auto" w:fill="auto"/>
            <w:noWrap/>
            <w:hideMark/>
          </w:tcPr>
          <w:p w:rsidR="008E65F4" w:rsidRPr="00AD71B5" w:rsidRDefault="005B4274" w:rsidP="0077385C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3</w:t>
            </w:r>
            <w:r w:rsidR="0077385C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1</w:t>
            </w:r>
          </w:p>
        </w:tc>
        <w:tc>
          <w:tcPr>
            <w:tcW w:w="1705" w:type="dxa"/>
            <w:shd w:val="clear" w:color="auto" w:fill="auto"/>
            <w:hideMark/>
          </w:tcPr>
          <w:p w:rsidR="008E65F4" w:rsidRPr="005C2A58" w:rsidRDefault="008E65F4" w:rsidP="00D86D53">
            <w:pPr>
              <w:spacing w:after="0"/>
              <w:rPr>
                <w:rFonts w:asciiTheme="majorHAnsi" w:eastAsia="Times New Roman" w:hAnsiTheme="majorHAnsi" w:cs="Arial"/>
                <w:sz w:val="16"/>
                <w:szCs w:val="16"/>
                <w:lang w:eastAsia="nb-NO"/>
              </w:rPr>
            </w:pPr>
            <w:r w:rsidRPr="005C2A58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Informasjons- og kommunikasjons-</w:t>
            </w:r>
            <w:r w:rsidR="00557061" w:rsidRPr="005C2A58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 xml:space="preserve">installasjoner 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65F4" w:rsidRPr="005C2A58" w:rsidRDefault="005C2A58" w:rsidP="00265792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 w:rsidRPr="005C2A58"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Ingen informasjons- eller kommunikasjonsinstallasjoner i planområdet.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5C2A58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  <w:tc>
          <w:tcPr>
            <w:tcW w:w="28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5C2A58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5C2A58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E65F4" w:rsidRPr="00AD71B5" w:rsidRDefault="008E65F4" w:rsidP="00D86D53">
            <w:pPr>
              <w:spacing w:after="0"/>
              <w:jc w:val="center"/>
              <w:rPr>
                <w:rFonts w:asciiTheme="majorHAnsi" w:eastAsia="Times New Roman" w:hAnsiTheme="majorHAnsi" w:cs="Arial"/>
                <w:sz w:val="18"/>
                <w:szCs w:val="17"/>
                <w:lang w:eastAsia="nb-NO"/>
              </w:rPr>
            </w:pPr>
          </w:p>
        </w:tc>
      </w:tr>
    </w:tbl>
    <w:p w:rsidR="008E65F4" w:rsidRPr="00474626" w:rsidRDefault="008E65F4" w:rsidP="00E074CA">
      <w:pPr>
        <w:spacing w:before="200"/>
      </w:pPr>
      <w:bookmarkStart w:id="51" w:name="_Ref57981457"/>
      <w:r>
        <w:t>Følgende tiltak vurderes å bidra til at risiko og sårbarhet holdes på et akseptabelt nivå:</w:t>
      </w:r>
      <w:r w:rsidR="00246AE8">
        <w:t xml:space="preserve"> </w:t>
      </w:r>
    </w:p>
    <w:p w:rsidR="008E65F4" w:rsidRPr="00297C70" w:rsidRDefault="008E65F4" w:rsidP="008E65F4">
      <w:pPr>
        <w:pStyle w:val="Figurogtabelloverskrift"/>
        <w:rPr>
          <w:rFonts w:asciiTheme="majorHAnsi" w:hAnsiTheme="majorHAnsi"/>
          <w:b w:val="0"/>
          <w:i/>
          <w:color w:val="44546A" w:themeColor="text2"/>
          <w:sz w:val="18"/>
          <w:szCs w:val="16"/>
        </w:rPr>
      </w:pPr>
      <w:bookmarkStart w:id="52" w:name="_Ref57982695"/>
      <w:bookmarkStart w:id="53" w:name="_Ref58249092"/>
      <w:r w:rsidRPr="00297C70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t xml:space="preserve">Tabell </w:t>
      </w:r>
      <w:r w:rsidR="003B3808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fldChar w:fldCharType="begin"/>
      </w:r>
      <w:r w:rsidR="003B3808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instrText xml:space="preserve"> STYLEREF 1 \s </w:instrText>
      </w:r>
      <w:r w:rsidR="003B3808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fldChar w:fldCharType="separate"/>
      </w:r>
      <w:r w:rsidR="001C4823">
        <w:rPr>
          <w:rFonts w:asciiTheme="majorHAnsi" w:hAnsiTheme="majorHAnsi"/>
          <w:b w:val="0"/>
          <w:i/>
          <w:noProof/>
          <w:color w:val="44546A" w:themeColor="text2"/>
          <w:sz w:val="18"/>
          <w:szCs w:val="16"/>
        </w:rPr>
        <w:t>2</w:t>
      </w:r>
      <w:r w:rsidR="003B3808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fldChar w:fldCharType="end"/>
      </w:r>
      <w:r w:rsidR="003B3808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noBreakHyphen/>
      </w:r>
      <w:r w:rsidR="003B3808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fldChar w:fldCharType="begin"/>
      </w:r>
      <w:r w:rsidR="003B3808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instrText xml:space="preserve"> SEQ Tabell \* ARABIC \s 1 </w:instrText>
      </w:r>
      <w:r w:rsidR="003B3808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fldChar w:fldCharType="separate"/>
      </w:r>
      <w:r w:rsidR="001C4823">
        <w:rPr>
          <w:rFonts w:asciiTheme="majorHAnsi" w:hAnsiTheme="majorHAnsi"/>
          <w:b w:val="0"/>
          <w:i/>
          <w:noProof/>
          <w:color w:val="44546A" w:themeColor="text2"/>
          <w:sz w:val="18"/>
          <w:szCs w:val="16"/>
        </w:rPr>
        <w:t>2</w:t>
      </w:r>
      <w:r w:rsidR="003B3808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fldChar w:fldCharType="end"/>
      </w:r>
      <w:bookmarkEnd w:id="51"/>
      <w:bookmarkEnd w:id="52"/>
      <w:r w:rsidRPr="00297C70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t xml:space="preserve"> </w:t>
      </w:r>
      <w:bookmarkStart w:id="54" w:name="_Ref58249101"/>
      <w:r w:rsidRPr="00297C70">
        <w:rPr>
          <w:rFonts w:asciiTheme="majorHAnsi" w:hAnsiTheme="majorHAnsi"/>
          <w:b w:val="0"/>
          <w:i/>
          <w:color w:val="44546A" w:themeColor="text2"/>
          <w:sz w:val="18"/>
          <w:szCs w:val="16"/>
        </w:rPr>
        <w:t>Risikoreduserende tiltak</w:t>
      </w:r>
      <w:bookmarkEnd w:id="53"/>
      <w:bookmarkEnd w:id="54"/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5608"/>
        <w:gridCol w:w="3265"/>
      </w:tblGrid>
      <w:tr w:rsidR="008E65F4" w:rsidRPr="00023CF7" w:rsidTr="00D86D53">
        <w:trPr>
          <w:trHeight w:val="2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bottom"/>
            <w:hideMark/>
          </w:tcPr>
          <w:p w:rsidR="008E65F4" w:rsidRPr="00023CF7" w:rsidRDefault="008E65F4" w:rsidP="00D86D53">
            <w:pPr>
              <w:spacing w:after="0"/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/>
            <w:vAlign w:val="center"/>
            <w:hideMark/>
          </w:tcPr>
          <w:p w:rsidR="008E65F4" w:rsidRPr="00023CF7" w:rsidRDefault="008E65F4" w:rsidP="00D86D53">
            <w:pPr>
              <w:spacing w:after="0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nb-NO"/>
              </w:rPr>
              <w:t>Merknad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E65F4" w:rsidRPr="00023CF7" w:rsidRDefault="008E65F4" w:rsidP="00D86D53">
            <w:pPr>
              <w:spacing w:after="0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nb-NO"/>
              </w:rPr>
            </w:pPr>
            <w:r w:rsidRPr="00B02C1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nb-NO"/>
              </w:rPr>
              <w:t>Tiltak</w:t>
            </w:r>
          </w:p>
        </w:tc>
      </w:tr>
      <w:tr w:rsidR="008E65F4" w:rsidRPr="00023CF7" w:rsidTr="001C3C0B">
        <w:trPr>
          <w:trHeight w:val="120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E65F4" w:rsidRPr="00023CF7" w:rsidRDefault="008E65F4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 w:rsidRPr="00023CF7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65F4" w:rsidRPr="00023CF7" w:rsidRDefault="00650A0C" w:rsidP="00115A21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 w:rsidRPr="00650A0C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Utfall av elektronisk kommunikasjon er et av scenariene i kommunens helhetlige ROS. Det er gjort tiltak, ved at det er etablert en lokal kriseledelse som ved kommunikasjonsutfall har de samme fullmakter som kommunens kriseledelse som befinner seg i Kjøllefjord, og som håndterer situasjonen inntil kommunikasjonslinjer er gjenopprettet.</w:t>
            </w:r>
          </w:p>
        </w:tc>
        <w:tc>
          <w:tcPr>
            <w:tcW w:w="3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1D87" w:rsidRPr="00650A0C" w:rsidRDefault="00650A0C" w:rsidP="00115A21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 w:rsidRPr="00650A0C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Ingen</w:t>
            </w:r>
            <w:r w:rsidR="00CB609F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 xml:space="preserve"> ytterligere</w:t>
            </w:r>
            <w:r w:rsidRPr="00650A0C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 xml:space="preserve"> tiltak i plan.</w:t>
            </w:r>
          </w:p>
        </w:tc>
      </w:tr>
      <w:tr w:rsidR="00C0142C" w:rsidRPr="00023CF7" w:rsidTr="001B3ED1">
        <w:trPr>
          <w:trHeight w:val="828"/>
        </w:trPr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0142C" w:rsidRPr="006B636A" w:rsidRDefault="00C0142C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 w:rsidRPr="006B636A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5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57DA" w:rsidRDefault="00650A0C" w:rsidP="00701D52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 w:rsidRPr="006B636A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Fylkeskommunen uttalte i varsel til oppstart at trafikksikkerhetstiltak bør være på plass før boligområdet tas i bruk. Fartsgrensen gjennom bygda er 60/50 km/t.</w:t>
            </w:r>
          </w:p>
          <w:p w:rsidR="0095077A" w:rsidRPr="006B636A" w:rsidRDefault="0095077A" w:rsidP="00701D52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 w:rsidRPr="006B636A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 xml:space="preserve">Henstilling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 xml:space="preserve">fra Lebesby kommune til fylkeskommunen </w:t>
            </w:r>
            <w:r w:rsidRPr="006B636A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om å sette ned fartsgrensa gjennom bygda Lebesby.</w:t>
            </w: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524A09" w:rsidRPr="006B636A" w:rsidRDefault="0095077A" w:rsidP="001A3D69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Ingen ytterligere tiltak i plan.</w:t>
            </w:r>
          </w:p>
        </w:tc>
      </w:tr>
      <w:tr w:rsidR="008E65F4" w:rsidRPr="00023CF7" w:rsidTr="001B3ED1">
        <w:trPr>
          <w:trHeight w:val="905"/>
        </w:trPr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8E65F4" w:rsidRPr="00023CF7" w:rsidRDefault="00C0142C" w:rsidP="00D86D53">
            <w:pPr>
              <w:spacing w:after="0"/>
              <w:jc w:val="right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5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E65F4" w:rsidRPr="00023CF7" w:rsidRDefault="000646D5" w:rsidP="000646D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 w:rsidRPr="000646D5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I regi av Norsk Luftambulanse er det etablert et akuttmedisinsk team i Lebesbyområdet, hvor en gruppe lokale innbyggere (akutthjelpere) læres opp til å drive førstehjelp inntil ambulanse/medisinsk personell ankommer.</w:t>
            </w: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5F4" w:rsidRPr="00023CF7" w:rsidRDefault="000646D5" w:rsidP="00A82332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 xml:space="preserve">Ingen </w:t>
            </w:r>
            <w:r w:rsidR="00CB609F"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 xml:space="preserve">ytterligere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nb-NO"/>
              </w:rPr>
              <w:t>tiltak i plan.</w:t>
            </w:r>
          </w:p>
        </w:tc>
      </w:tr>
    </w:tbl>
    <w:p w:rsidR="00440B6C" w:rsidRDefault="00440B6C" w:rsidP="00440B6C">
      <w:bookmarkStart w:id="55" w:name="_Toc45787650"/>
      <w:bookmarkStart w:id="56" w:name="_Toc57983043"/>
      <w:bookmarkStart w:id="57" w:name="_Toc60748479"/>
    </w:p>
    <w:p w:rsidR="004822DD" w:rsidRDefault="004822D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8" w:name="_Toc89958579"/>
      <w:r>
        <w:br w:type="page"/>
      </w:r>
    </w:p>
    <w:p w:rsidR="008E65F4" w:rsidRPr="0051198F" w:rsidRDefault="008E65F4" w:rsidP="0043796F">
      <w:pPr>
        <w:pStyle w:val="Overskrift1"/>
        <w:numPr>
          <w:ilvl w:val="0"/>
          <w:numId w:val="5"/>
        </w:numPr>
        <w:spacing w:line="240" w:lineRule="auto"/>
      </w:pPr>
      <w:bookmarkStart w:id="59" w:name="_Toc127776306"/>
      <w:r>
        <w:lastRenderedPageBreak/>
        <w:t>Konklusjon</w:t>
      </w:r>
      <w:bookmarkEnd w:id="55"/>
      <w:bookmarkEnd w:id="56"/>
      <w:bookmarkEnd w:id="57"/>
      <w:bookmarkEnd w:id="58"/>
      <w:bookmarkEnd w:id="59"/>
    </w:p>
    <w:p w:rsidR="008E65F4" w:rsidRDefault="00071473" w:rsidP="00E23D0D">
      <w:pPr>
        <w:spacing w:before="240"/>
      </w:pPr>
      <w:r>
        <w:t xml:space="preserve">I </w:t>
      </w:r>
      <w:r w:rsidR="008E65F4">
        <w:t xml:space="preserve">ROS-analysen har </w:t>
      </w:r>
      <w:r>
        <w:t xml:space="preserve">vi </w:t>
      </w:r>
      <w:r w:rsidR="008E65F4">
        <w:t xml:space="preserve">vurdert </w:t>
      </w:r>
      <w:r>
        <w:t>vel</w:t>
      </w:r>
      <w:r w:rsidR="008E65F4">
        <w:t xml:space="preserve"> </w:t>
      </w:r>
      <w:r w:rsidR="00223B5A">
        <w:t>30</w:t>
      </w:r>
      <w:r w:rsidR="008E65F4">
        <w:t xml:space="preserve"> risikoforhold/hendelser i </w:t>
      </w:r>
      <w:r w:rsidR="008E65F4" w:rsidRPr="00223B5A">
        <w:t xml:space="preserve">planområdet. </w:t>
      </w:r>
      <w:r w:rsidR="0048372A">
        <w:t xml:space="preserve">I utgangspunktet er ikke planområdet spesielt sårbart eller risikoutsatt. </w:t>
      </w:r>
      <w:r w:rsidR="00726508">
        <w:t>A</w:t>
      </w:r>
      <w:r w:rsidR="008E65F4" w:rsidRPr="00223B5A">
        <w:t xml:space="preserve">nalysen i forrige kapittel </w:t>
      </w:r>
      <w:r w:rsidR="00726508">
        <w:t>viser</w:t>
      </w:r>
      <w:r w:rsidR="008E65F4" w:rsidRPr="00223B5A">
        <w:t xml:space="preserve"> at planforslaget</w:t>
      </w:r>
      <w:r w:rsidR="0048372A">
        <w:t xml:space="preserve"> heller</w:t>
      </w:r>
      <w:r w:rsidR="008E65F4" w:rsidRPr="00223B5A">
        <w:t xml:space="preserve"> ikke medfører økt eller nye risiko- og </w:t>
      </w:r>
      <w:r w:rsidR="001C3C0B" w:rsidRPr="00223B5A">
        <w:t>sårbarhetsforhold</w:t>
      </w:r>
      <w:r w:rsidR="008E65F4" w:rsidRPr="00223B5A">
        <w:t>.</w:t>
      </w:r>
      <w:r w:rsidR="008E65F4">
        <w:t xml:space="preserve"> </w:t>
      </w:r>
    </w:p>
    <w:p w:rsidR="00957C95" w:rsidRDefault="008E65F4" w:rsidP="008E65F4">
      <w:r w:rsidRPr="00726508">
        <w:t>Ris</w:t>
      </w:r>
      <w:r w:rsidR="001C3C0B" w:rsidRPr="00726508">
        <w:t xml:space="preserve">ikoforhold som </w:t>
      </w:r>
      <w:r w:rsidR="00957C95">
        <w:t xml:space="preserve">utmerker seg med </w:t>
      </w:r>
      <w:r w:rsidR="006E115E" w:rsidRPr="00726508">
        <w:t>høy sannsynlighet og/eller alvorlig konsekvens</w:t>
      </w:r>
      <w:r w:rsidRPr="00726508">
        <w:t xml:space="preserve">, </w:t>
      </w:r>
      <w:r w:rsidR="00E37FC9">
        <w:t xml:space="preserve">er </w:t>
      </w:r>
      <w:r w:rsidR="00957C95">
        <w:t>responstid ambulanse</w:t>
      </w:r>
      <w:r w:rsidR="00E37FC9">
        <w:t xml:space="preserve"> og værforhold</w:t>
      </w:r>
      <w:r w:rsidR="00957C95">
        <w:t>. Dette er forhold som gjelder ikke bare for planområdet men for hele bygda og omegn. Det er allerede satt inn tiltak for å redusere risiko</w:t>
      </w:r>
      <w:r w:rsidR="00F210B0">
        <w:t xml:space="preserve"> for de nevnte forholdene</w:t>
      </w:r>
      <w:r w:rsidR="00957C95">
        <w:t>, disse er beskrevet i tabellen over</w:t>
      </w:r>
      <w:r w:rsidR="00426DCB">
        <w:t>, punkt 1 og 3</w:t>
      </w:r>
      <w:r w:rsidR="00957C95">
        <w:t>.</w:t>
      </w:r>
    </w:p>
    <w:p w:rsidR="008E65F4" w:rsidRDefault="00691170" w:rsidP="008E65F4">
      <w:r w:rsidRPr="00223B5A">
        <w:t>Lebesby kommune</w:t>
      </w:r>
      <w:r w:rsidR="008E65F4" w:rsidRPr="00223B5A">
        <w:t xml:space="preserve"> </w:t>
      </w:r>
      <w:r w:rsidR="00223B5A" w:rsidRPr="00223B5A">
        <w:t xml:space="preserve">vurderer </w:t>
      </w:r>
      <w:r w:rsidR="008E65F4" w:rsidRPr="00223B5A">
        <w:t>at hensynet til risiko- og sårbarhetsforhold er tilfredsstillende ivaretatt i planforslaget.</w:t>
      </w:r>
    </w:p>
    <w:p w:rsidR="008E65F4" w:rsidRDefault="008E65F4" w:rsidP="008E65F4"/>
    <w:p w:rsidR="008E65F4" w:rsidRDefault="008E65F4" w:rsidP="008E65F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E65F4" w:rsidRDefault="004029A3" w:rsidP="00776615">
      <w:pPr>
        <w:pStyle w:val="Overskrift1"/>
        <w:numPr>
          <w:ilvl w:val="0"/>
          <w:numId w:val="0"/>
        </w:numPr>
        <w:spacing w:line="240" w:lineRule="auto"/>
      </w:pPr>
      <w:bookmarkStart w:id="60" w:name="_Toc60748480"/>
      <w:bookmarkStart w:id="61" w:name="_Toc89958580"/>
      <w:bookmarkStart w:id="62" w:name="_Toc127776307"/>
      <w:r>
        <w:lastRenderedPageBreak/>
        <w:t>Litteraturliste</w:t>
      </w:r>
      <w:bookmarkEnd w:id="60"/>
      <w:bookmarkEnd w:id="61"/>
      <w:bookmarkEnd w:id="62"/>
    </w:p>
    <w:p w:rsidR="00703E33" w:rsidRPr="009D3BA3" w:rsidRDefault="00703E33" w:rsidP="009D3BA3">
      <w:pPr>
        <w:spacing w:before="240"/>
        <w:rPr>
          <w:i/>
          <w:u w:val="single"/>
        </w:rPr>
      </w:pPr>
      <w:r w:rsidRPr="009D3BA3">
        <w:rPr>
          <w:i/>
          <w:u w:val="single"/>
        </w:rPr>
        <w:t xml:space="preserve">Databaser, nettkilder og kartverktøy som er benyttet i ROS-analysen er henvist til i </w:t>
      </w:r>
      <w:r w:rsidRPr="009D3BA3">
        <w:rPr>
          <w:i/>
          <w:u w:val="single"/>
        </w:rPr>
        <w:fldChar w:fldCharType="begin"/>
      </w:r>
      <w:r w:rsidRPr="009D3BA3">
        <w:rPr>
          <w:i/>
          <w:u w:val="single"/>
        </w:rPr>
        <w:instrText xml:space="preserve"> REF _Ref57981412 \h  \* MERGEFORMAT </w:instrText>
      </w:r>
      <w:r w:rsidRPr="009D3BA3">
        <w:rPr>
          <w:i/>
          <w:u w:val="single"/>
        </w:rPr>
      </w:r>
      <w:r w:rsidRPr="009D3BA3">
        <w:rPr>
          <w:i/>
          <w:u w:val="single"/>
        </w:rPr>
        <w:fldChar w:fldCharType="separate"/>
      </w:r>
      <w:r w:rsidR="001C4823" w:rsidRPr="001C4823">
        <w:rPr>
          <w:i/>
          <w:u w:val="single"/>
        </w:rPr>
        <w:t>Tabell</w:t>
      </w:r>
      <w:r w:rsidR="001C4823" w:rsidRPr="00527D13">
        <w:t xml:space="preserve"> </w:t>
      </w:r>
      <w:r w:rsidR="001C4823">
        <w:rPr>
          <w:noProof/>
        </w:rPr>
        <w:t>2</w:t>
      </w:r>
      <w:r w:rsidR="001C4823">
        <w:noBreakHyphen/>
      </w:r>
      <w:r w:rsidR="001C4823">
        <w:rPr>
          <w:noProof/>
        </w:rPr>
        <w:t>1</w:t>
      </w:r>
      <w:r w:rsidRPr="009D3BA3">
        <w:rPr>
          <w:i/>
          <w:u w:val="single"/>
        </w:rPr>
        <w:fldChar w:fldCharType="end"/>
      </w:r>
      <w:r w:rsidRPr="009D3BA3">
        <w:rPr>
          <w:i/>
          <w:u w:val="single"/>
        </w:rPr>
        <w:t>.</w:t>
      </w:r>
    </w:p>
    <w:p w:rsidR="004B1202" w:rsidRDefault="004029A3" w:rsidP="009D3BA3">
      <w:pPr>
        <w:spacing w:before="240"/>
      </w:pPr>
      <w:r>
        <w:t>Direktoratet for samfunnssikkerhet og beredskap (</w:t>
      </w:r>
      <w:r w:rsidR="009E6D5C">
        <w:t>2017</w:t>
      </w:r>
      <w:r>
        <w:t xml:space="preserve">). </w:t>
      </w:r>
      <w:r w:rsidRPr="00D50B7D">
        <w:rPr>
          <w:i/>
        </w:rPr>
        <w:t>Samfunnssikkerhet i kommunens arealplanlegging</w:t>
      </w:r>
      <w:r>
        <w:t>. Veileder.</w:t>
      </w:r>
    </w:p>
    <w:p w:rsidR="002C530F" w:rsidRPr="0091246B" w:rsidRDefault="002C530F" w:rsidP="002C530F">
      <w:r w:rsidRPr="0091246B">
        <w:t xml:space="preserve">Lebesby brannvesen (2020). </w:t>
      </w:r>
      <w:r w:rsidRPr="0091246B">
        <w:rPr>
          <w:i/>
        </w:rPr>
        <w:t>Brannordning</w:t>
      </w:r>
      <w:r w:rsidRPr="0091246B">
        <w:t>. Vedtatt i kommunestyret 27.10.20, sak 63/2020.</w:t>
      </w:r>
    </w:p>
    <w:p w:rsidR="002C530F" w:rsidRPr="009F4359" w:rsidRDefault="002C530F" w:rsidP="002C530F">
      <w:r w:rsidRPr="0091246B">
        <w:t xml:space="preserve">Lebesby brannvesen (2019). </w:t>
      </w:r>
      <w:r w:rsidRPr="0091246B">
        <w:rPr>
          <w:i/>
        </w:rPr>
        <w:t>Risiko- og sårbarhetsanalyse</w:t>
      </w:r>
      <w:r w:rsidRPr="0091246B">
        <w:t>. Vedtatt i kommunestyret 27.10.20, sak 63/2020.</w:t>
      </w:r>
    </w:p>
    <w:p w:rsidR="00795908" w:rsidRDefault="00795908" w:rsidP="00795908">
      <w:r>
        <w:t xml:space="preserve">Lebesby kommune (2019). </w:t>
      </w:r>
      <w:r w:rsidRPr="002C530F">
        <w:rPr>
          <w:i/>
        </w:rPr>
        <w:t>Lebesby mot 2035: Kommuneplanens arealdel 2019-2035</w:t>
      </w:r>
      <w:r>
        <w:t>. Vedtatt i kommunestyret 02.09.19, sak 56/19.</w:t>
      </w:r>
    </w:p>
    <w:p w:rsidR="008E65F4" w:rsidRDefault="002C530F" w:rsidP="008E65F4">
      <w:r>
        <w:t xml:space="preserve">Lebesby kommune (2019). </w:t>
      </w:r>
      <w:r w:rsidR="008E65F4" w:rsidRPr="002C530F">
        <w:rPr>
          <w:i/>
        </w:rPr>
        <w:t xml:space="preserve">Helhetlig </w:t>
      </w:r>
      <w:r w:rsidRPr="002C530F">
        <w:rPr>
          <w:i/>
        </w:rPr>
        <w:t>risiko- og sårbarhetsanalyse for Lebesby kommune. Rapport med tiltaksplan 2019-2022</w:t>
      </w:r>
      <w:r>
        <w:t>. Vedtatt i kommunestyret 11.04.19, sak 15/2019.</w:t>
      </w:r>
      <w:r w:rsidR="00795908">
        <w:t xml:space="preserve"> </w:t>
      </w:r>
    </w:p>
    <w:p w:rsidR="008523B5" w:rsidRDefault="008523B5" w:rsidP="008523B5">
      <w:r>
        <w:t xml:space="preserve">Multiconsult (2021). </w:t>
      </w:r>
      <w:r w:rsidRPr="00312E42">
        <w:rPr>
          <w:i/>
        </w:rPr>
        <w:t>Lebesby – grunnundersøkelser. Datarapport fra geotekniske undersøkelser</w:t>
      </w:r>
      <w:r>
        <w:t>. Rapport.</w:t>
      </w:r>
    </w:p>
    <w:p w:rsidR="008523B5" w:rsidRDefault="008523B5" w:rsidP="008523B5">
      <w:r>
        <w:t xml:space="preserve">Multiconsult (2022). </w:t>
      </w:r>
      <w:r w:rsidRPr="00312E42">
        <w:rPr>
          <w:i/>
        </w:rPr>
        <w:t>Øverbygd Lebesby - geoteknisk vurdering av områdestabilitet</w:t>
      </w:r>
      <w:r>
        <w:t>. Notat.</w:t>
      </w:r>
    </w:p>
    <w:p w:rsidR="00430EE2" w:rsidRPr="00430EE2" w:rsidRDefault="00430EE2" w:rsidP="008523B5">
      <w:r>
        <w:t>Norsk klimaservicesenter (202</w:t>
      </w:r>
      <w:r w:rsidR="008523B5">
        <w:t>1</w:t>
      </w:r>
      <w:r>
        <w:t xml:space="preserve">). </w:t>
      </w:r>
      <w:r w:rsidR="008523B5" w:rsidRPr="008523B5">
        <w:rPr>
          <w:i/>
        </w:rPr>
        <w:t>Klimaprofil Finnmark</w:t>
      </w:r>
      <w:r w:rsidR="008523B5">
        <w:t>.</w:t>
      </w:r>
    </w:p>
    <w:p w:rsidR="00B723F6" w:rsidRDefault="00B723F6" w:rsidP="002C530F"/>
    <w:bookmarkEnd w:id="12"/>
    <w:p w:rsidR="00C969C2" w:rsidRDefault="00C969C2" w:rsidP="002C530F"/>
    <w:p w:rsidR="008E65F4" w:rsidRPr="008E65F4" w:rsidRDefault="008E65F4" w:rsidP="008E65F4"/>
    <w:sectPr w:rsidR="008E65F4" w:rsidRPr="008E65F4" w:rsidSect="00A57E0B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09" w:rsidRDefault="008F7F09" w:rsidP="009B3F94">
      <w:pPr>
        <w:spacing w:after="0" w:line="240" w:lineRule="auto"/>
      </w:pPr>
      <w:r>
        <w:separator/>
      </w:r>
    </w:p>
  </w:endnote>
  <w:endnote w:type="continuationSeparator" w:id="0">
    <w:p w:rsidR="008F7F09" w:rsidRDefault="008F7F09" w:rsidP="009B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897226"/>
      <w:docPartObj>
        <w:docPartGallery w:val="Page Numbers (Bottom of Page)"/>
        <w:docPartUnique/>
      </w:docPartObj>
    </w:sdtPr>
    <w:sdtEndPr/>
    <w:sdtContent>
      <w:p w:rsidR="008F7F09" w:rsidRDefault="008F7F0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E1B">
          <w:rPr>
            <w:noProof/>
          </w:rPr>
          <w:t>2</w:t>
        </w:r>
        <w:r>
          <w:fldChar w:fldCharType="end"/>
        </w:r>
      </w:p>
    </w:sdtContent>
  </w:sdt>
  <w:p w:rsidR="008F7F09" w:rsidRDefault="008F7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09" w:rsidRDefault="008F7F09" w:rsidP="009B3F94">
      <w:pPr>
        <w:spacing w:after="0" w:line="240" w:lineRule="auto"/>
      </w:pPr>
      <w:r>
        <w:separator/>
      </w:r>
    </w:p>
  </w:footnote>
  <w:footnote w:type="continuationSeparator" w:id="0">
    <w:p w:rsidR="008F7F09" w:rsidRDefault="008F7F09" w:rsidP="009B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AFA"/>
    <w:multiLevelType w:val="hybridMultilevel"/>
    <w:tmpl w:val="822446D4"/>
    <w:lvl w:ilvl="0" w:tplc="C9C62A96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EB3"/>
    <w:multiLevelType w:val="multilevel"/>
    <w:tmpl w:val="D6446DF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4E4374"/>
    <w:multiLevelType w:val="multilevel"/>
    <w:tmpl w:val="7680A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D64719"/>
    <w:multiLevelType w:val="hybridMultilevel"/>
    <w:tmpl w:val="27D46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56E5"/>
    <w:multiLevelType w:val="multilevel"/>
    <w:tmpl w:val="7680A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E4712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024BE8"/>
    <w:multiLevelType w:val="multilevel"/>
    <w:tmpl w:val="D6446DF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9B29C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4651DC"/>
    <w:multiLevelType w:val="hybridMultilevel"/>
    <w:tmpl w:val="7BEA4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3449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BB5FFA"/>
    <w:multiLevelType w:val="hybridMultilevel"/>
    <w:tmpl w:val="9818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053A"/>
    <w:multiLevelType w:val="hybridMultilevel"/>
    <w:tmpl w:val="28745398"/>
    <w:lvl w:ilvl="0" w:tplc="5D8A03DA">
      <w:start w:val="1"/>
      <w:numFmt w:val="decimal"/>
      <w:pStyle w:val="Overskrift2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2F8C"/>
    <w:multiLevelType w:val="multilevel"/>
    <w:tmpl w:val="7680A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853695"/>
    <w:multiLevelType w:val="multilevel"/>
    <w:tmpl w:val="D6446DF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DC5E2B"/>
    <w:multiLevelType w:val="hybridMultilevel"/>
    <w:tmpl w:val="B80638E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366DE9"/>
    <w:multiLevelType w:val="hybridMultilevel"/>
    <w:tmpl w:val="7EA03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039A4"/>
    <w:multiLevelType w:val="hybridMultilevel"/>
    <w:tmpl w:val="1B98D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E5E3B"/>
    <w:multiLevelType w:val="multilevel"/>
    <w:tmpl w:val="D6446DF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564641"/>
    <w:multiLevelType w:val="hybridMultilevel"/>
    <w:tmpl w:val="DD4092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47A57"/>
    <w:multiLevelType w:val="hybridMultilevel"/>
    <w:tmpl w:val="6A0CB8DE"/>
    <w:lvl w:ilvl="0" w:tplc="1B76CA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8465F"/>
    <w:multiLevelType w:val="hybridMultilevel"/>
    <w:tmpl w:val="DB0E4678"/>
    <w:lvl w:ilvl="0" w:tplc="B69AD674">
      <w:start w:val="1"/>
      <w:numFmt w:val="bullet"/>
      <w:suff w:val="space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74D90179"/>
    <w:multiLevelType w:val="hybridMultilevel"/>
    <w:tmpl w:val="6E6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5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17"/>
  </w:num>
  <w:num w:numId="19">
    <w:abstractNumId w:val="1"/>
  </w:num>
  <w:num w:numId="20">
    <w:abstractNumId w:val="6"/>
  </w:num>
  <w:num w:numId="21">
    <w:abstractNumId w:val="21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A8"/>
    <w:rsid w:val="000007BB"/>
    <w:rsid w:val="00002867"/>
    <w:rsid w:val="000031C1"/>
    <w:rsid w:val="000071B2"/>
    <w:rsid w:val="0001010A"/>
    <w:rsid w:val="00010985"/>
    <w:rsid w:val="00013F03"/>
    <w:rsid w:val="000140DD"/>
    <w:rsid w:val="00014BBD"/>
    <w:rsid w:val="00014E52"/>
    <w:rsid w:val="0001578A"/>
    <w:rsid w:val="00015ADA"/>
    <w:rsid w:val="0001600F"/>
    <w:rsid w:val="00016389"/>
    <w:rsid w:val="000177F7"/>
    <w:rsid w:val="00020D6A"/>
    <w:rsid w:val="00021FAB"/>
    <w:rsid w:val="00021FE6"/>
    <w:rsid w:val="000241A9"/>
    <w:rsid w:val="00024D62"/>
    <w:rsid w:val="00024DA6"/>
    <w:rsid w:val="00026260"/>
    <w:rsid w:val="000267E8"/>
    <w:rsid w:val="00030431"/>
    <w:rsid w:val="00030ED2"/>
    <w:rsid w:val="00031007"/>
    <w:rsid w:val="00031589"/>
    <w:rsid w:val="000336B2"/>
    <w:rsid w:val="000339FF"/>
    <w:rsid w:val="0003547D"/>
    <w:rsid w:val="00036BCB"/>
    <w:rsid w:val="00036CC8"/>
    <w:rsid w:val="0003737A"/>
    <w:rsid w:val="00041FD9"/>
    <w:rsid w:val="0004229C"/>
    <w:rsid w:val="00043AE4"/>
    <w:rsid w:val="00043F57"/>
    <w:rsid w:val="000466B0"/>
    <w:rsid w:val="00046783"/>
    <w:rsid w:val="00047131"/>
    <w:rsid w:val="000479DE"/>
    <w:rsid w:val="0005165E"/>
    <w:rsid w:val="0005168F"/>
    <w:rsid w:val="00051B2A"/>
    <w:rsid w:val="00051DCB"/>
    <w:rsid w:val="000532B6"/>
    <w:rsid w:val="00054F73"/>
    <w:rsid w:val="00055508"/>
    <w:rsid w:val="0005578A"/>
    <w:rsid w:val="000557E9"/>
    <w:rsid w:val="00055848"/>
    <w:rsid w:val="00056323"/>
    <w:rsid w:val="00056FFF"/>
    <w:rsid w:val="0006103A"/>
    <w:rsid w:val="000610D7"/>
    <w:rsid w:val="00061D3B"/>
    <w:rsid w:val="00062FEC"/>
    <w:rsid w:val="00063199"/>
    <w:rsid w:val="00063403"/>
    <w:rsid w:val="000636EC"/>
    <w:rsid w:val="000646D5"/>
    <w:rsid w:val="00064CA1"/>
    <w:rsid w:val="00064D1A"/>
    <w:rsid w:val="0006633E"/>
    <w:rsid w:val="00066858"/>
    <w:rsid w:val="00067BFA"/>
    <w:rsid w:val="00070B8A"/>
    <w:rsid w:val="00071444"/>
    <w:rsid w:val="00071473"/>
    <w:rsid w:val="00071E51"/>
    <w:rsid w:val="00073306"/>
    <w:rsid w:val="000740F4"/>
    <w:rsid w:val="00075054"/>
    <w:rsid w:val="00075FFB"/>
    <w:rsid w:val="00076394"/>
    <w:rsid w:val="00076ECA"/>
    <w:rsid w:val="00077306"/>
    <w:rsid w:val="000822D6"/>
    <w:rsid w:val="000830BD"/>
    <w:rsid w:val="00084699"/>
    <w:rsid w:val="00084BBC"/>
    <w:rsid w:val="00085248"/>
    <w:rsid w:val="00085629"/>
    <w:rsid w:val="00086133"/>
    <w:rsid w:val="000865B8"/>
    <w:rsid w:val="00087B0E"/>
    <w:rsid w:val="00091295"/>
    <w:rsid w:val="00092190"/>
    <w:rsid w:val="000928ED"/>
    <w:rsid w:val="00092A07"/>
    <w:rsid w:val="000938B6"/>
    <w:rsid w:val="00094583"/>
    <w:rsid w:val="00096722"/>
    <w:rsid w:val="000975B5"/>
    <w:rsid w:val="000A1E24"/>
    <w:rsid w:val="000A1F20"/>
    <w:rsid w:val="000A2043"/>
    <w:rsid w:val="000A340B"/>
    <w:rsid w:val="000A6B7D"/>
    <w:rsid w:val="000A7673"/>
    <w:rsid w:val="000B0E6A"/>
    <w:rsid w:val="000B23DE"/>
    <w:rsid w:val="000B25C7"/>
    <w:rsid w:val="000B2C68"/>
    <w:rsid w:val="000B2F3F"/>
    <w:rsid w:val="000B3155"/>
    <w:rsid w:val="000B3214"/>
    <w:rsid w:val="000B3259"/>
    <w:rsid w:val="000B362A"/>
    <w:rsid w:val="000B3C77"/>
    <w:rsid w:val="000B5A22"/>
    <w:rsid w:val="000B6C2A"/>
    <w:rsid w:val="000B71EE"/>
    <w:rsid w:val="000B7646"/>
    <w:rsid w:val="000B7742"/>
    <w:rsid w:val="000C0F9C"/>
    <w:rsid w:val="000C1BF4"/>
    <w:rsid w:val="000C1E5A"/>
    <w:rsid w:val="000C2B4C"/>
    <w:rsid w:val="000C2C12"/>
    <w:rsid w:val="000C2DF6"/>
    <w:rsid w:val="000C3311"/>
    <w:rsid w:val="000C3786"/>
    <w:rsid w:val="000C44EA"/>
    <w:rsid w:val="000C4EE5"/>
    <w:rsid w:val="000C62D8"/>
    <w:rsid w:val="000C7082"/>
    <w:rsid w:val="000C7361"/>
    <w:rsid w:val="000C7979"/>
    <w:rsid w:val="000C7E8C"/>
    <w:rsid w:val="000D0308"/>
    <w:rsid w:val="000D1232"/>
    <w:rsid w:val="000D1EEF"/>
    <w:rsid w:val="000D2DC6"/>
    <w:rsid w:val="000D3153"/>
    <w:rsid w:val="000D3388"/>
    <w:rsid w:val="000D3F9D"/>
    <w:rsid w:val="000D5BBD"/>
    <w:rsid w:val="000D66FD"/>
    <w:rsid w:val="000D67F4"/>
    <w:rsid w:val="000D688A"/>
    <w:rsid w:val="000E0B8B"/>
    <w:rsid w:val="000E146B"/>
    <w:rsid w:val="000E163C"/>
    <w:rsid w:val="000E1986"/>
    <w:rsid w:val="000E3B77"/>
    <w:rsid w:val="000E5463"/>
    <w:rsid w:val="000E5DC2"/>
    <w:rsid w:val="000E78A0"/>
    <w:rsid w:val="000F111B"/>
    <w:rsid w:val="000F1D05"/>
    <w:rsid w:val="000F220A"/>
    <w:rsid w:val="000F25AF"/>
    <w:rsid w:val="000F35CF"/>
    <w:rsid w:val="000F469C"/>
    <w:rsid w:val="000F49CC"/>
    <w:rsid w:val="000F49CE"/>
    <w:rsid w:val="000F5559"/>
    <w:rsid w:val="000F5A36"/>
    <w:rsid w:val="000F6657"/>
    <w:rsid w:val="000F677D"/>
    <w:rsid w:val="00100921"/>
    <w:rsid w:val="00100A70"/>
    <w:rsid w:val="001014E2"/>
    <w:rsid w:val="00101D23"/>
    <w:rsid w:val="00101D95"/>
    <w:rsid w:val="00101E6B"/>
    <w:rsid w:val="00102743"/>
    <w:rsid w:val="00103022"/>
    <w:rsid w:val="0010344D"/>
    <w:rsid w:val="0010411D"/>
    <w:rsid w:val="00104930"/>
    <w:rsid w:val="0010561E"/>
    <w:rsid w:val="001065A2"/>
    <w:rsid w:val="001073BC"/>
    <w:rsid w:val="00110DC5"/>
    <w:rsid w:val="001111A4"/>
    <w:rsid w:val="00111B09"/>
    <w:rsid w:val="001120B1"/>
    <w:rsid w:val="00112BEB"/>
    <w:rsid w:val="0011303A"/>
    <w:rsid w:val="001137A1"/>
    <w:rsid w:val="00113EFE"/>
    <w:rsid w:val="001144A9"/>
    <w:rsid w:val="00114622"/>
    <w:rsid w:val="0011577E"/>
    <w:rsid w:val="001157E0"/>
    <w:rsid w:val="00115A21"/>
    <w:rsid w:val="00117316"/>
    <w:rsid w:val="00121486"/>
    <w:rsid w:val="00121BA4"/>
    <w:rsid w:val="00122653"/>
    <w:rsid w:val="001239BB"/>
    <w:rsid w:val="00123DED"/>
    <w:rsid w:val="00123F4B"/>
    <w:rsid w:val="0012530D"/>
    <w:rsid w:val="00126EA5"/>
    <w:rsid w:val="00127793"/>
    <w:rsid w:val="00127B3A"/>
    <w:rsid w:val="0013082D"/>
    <w:rsid w:val="00130C2F"/>
    <w:rsid w:val="00130CC6"/>
    <w:rsid w:val="00131079"/>
    <w:rsid w:val="00131D2C"/>
    <w:rsid w:val="0013282D"/>
    <w:rsid w:val="00133A77"/>
    <w:rsid w:val="00133C2C"/>
    <w:rsid w:val="00133FFC"/>
    <w:rsid w:val="00134BE2"/>
    <w:rsid w:val="00134ECE"/>
    <w:rsid w:val="001369BD"/>
    <w:rsid w:val="00137A33"/>
    <w:rsid w:val="00140988"/>
    <w:rsid w:val="00140F7A"/>
    <w:rsid w:val="0014160E"/>
    <w:rsid w:val="00141B39"/>
    <w:rsid w:val="001420E3"/>
    <w:rsid w:val="0014291A"/>
    <w:rsid w:val="0014429F"/>
    <w:rsid w:val="001453D2"/>
    <w:rsid w:val="001466C8"/>
    <w:rsid w:val="00147010"/>
    <w:rsid w:val="00147BA0"/>
    <w:rsid w:val="00150837"/>
    <w:rsid w:val="00151176"/>
    <w:rsid w:val="0015123E"/>
    <w:rsid w:val="00151569"/>
    <w:rsid w:val="001523EB"/>
    <w:rsid w:val="00152802"/>
    <w:rsid w:val="00152D27"/>
    <w:rsid w:val="00152F7B"/>
    <w:rsid w:val="00155338"/>
    <w:rsid w:val="00156874"/>
    <w:rsid w:val="001608E7"/>
    <w:rsid w:val="00161ACC"/>
    <w:rsid w:val="00161C14"/>
    <w:rsid w:val="00166393"/>
    <w:rsid w:val="00167810"/>
    <w:rsid w:val="001678CF"/>
    <w:rsid w:val="00170622"/>
    <w:rsid w:val="001718DB"/>
    <w:rsid w:val="00171CEE"/>
    <w:rsid w:val="001723D8"/>
    <w:rsid w:val="00173952"/>
    <w:rsid w:val="00174D0D"/>
    <w:rsid w:val="00174EF0"/>
    <w:rsid w:val="001767AB"/>
    <w:rsid w:val="00176B10"/>
    <w:rsid w:val="00176B3A"/>
    <w:rsid w:val="00177217"/>
    <w:rsid w:val="00177CA5"/>
    <w:rsid w:val="0018065A"/>
    <w:rsid w:val="001810EA"/>
    <w:rsid w:val="00181D91"/>
    <w:rsid w:val="001827BB"/>
    <w:rsid w:val="001879ED"/>
    <w:rsid w:val="00192990"/>
    <w:rsid w:val="00193480"/>
    <w:rsid w:val="0019478C"/>
    <w:rsid w:val="001948CB"/>
    <w:rsid w:val="00196784"/>
    <w:rsid w:val="0019743B"/>
    <w:rsid w:val="00197A36"/>
    <w:rsid w:val="00197E08"/>
    <w:rsid w:val="001A05C0"/>
    <w:rsid w:val="001A3D69"/>
    <w:rsid w:val="001A537C"/>
    <w:rsid w:val="001A698D"/>
    <w:rsid w:val="001A6C11"/>
    <w:rsid w:val="001B185C"/>
    <w:rsid w:val="001B2AA9"/>
    <w:rsid w:val="001B2DA4"/>
    <w:rsid w:val="001B332F"/>
    <w:rsid w:val="001B3423"/>
    <w:rsid w:val="001B3826"/>
    <w:rsid w:val="001B3ED1"/>
    <w:rsid w:val="001B4180"/>
    <w:rsid w:val="001B5284"/>
    <w:rsid w:val="001B5791"/>
    <w:rsid w:val="001B6710"/>
    <w:rsid w:val="001B6FBE"/>
    <w:rsid w:val="001C0889"/>
    <w:rsid w:val="001C08BA"/>
    <w:rsid w:val="001C182D"/>
    <w:rsid w:val="001C2B67"/>
    <w:rsid w:val="001C3C0B"/>
    <w:rsid w:val="001C4613"/>
    <w:rsid w:val="001C4823"/>
    <w:rsid w:val="001C49EE"/>
    <w:rsid w:val="001C6A1A"/>
    <w:rsid w:val="001D0844"/>
    <w:rsid w:val="001D19F0"/>
    <w:rsid w:val="001D3F0C"/>
    <w:rsid w:val="001D401E"/>
    <w:rsid w:val="001D54D0"/>
    <w:rsid w:val="001D61A9"/>
    <w:rsid w:val="001D75F8"/>
    <w:rsid w:val="001D7606"/>
    <w:rsid w:val="001E0291"/>
    <w:rsid w:val="001E0572"/>
    <w:rsid w:val="001E0AD2"/>
    <w:rsid w:val="001E3757"/>
    <w:rsid w:val="001E3B29"/>
    <w:rsid w:val="001E3B92"/>
    <w:rsid w:val="001E3BEE"/>
    <w:rsid w:val="001E3D1D"/>
    <w:rsid w:val="001E50E3"/>
    <w:rsid w:val="001F04A7"/>
    <w:rsid w:val="001F06E3"/>
    <w:rsid w:val="001F22B8"/>
    <w:rsid w:val="001F2A5C"/>
    <w:rsid w:val="001F3C6B"/>
    <w:rsid w:val="001F4051"/>
    <w:rsid w:val="001F4C78"/>
    <w:rsid w:val="001F53E3"/>
    <w:rsid w:val="001F6E3A"/>
    <w:rsid w:val="001F7105"/>
    <w:rsid w:val="002005E4"/>
    <w:rsid w:val="002011D2"/>
    <w:rsid w:val="002016A8"/>
    <w:rsid w:val="00202CD3"/>
    <w:rsid w:val="002042D4"/>
    <w:rsid w:val="0020465E"/>
    <w:rsid w:val="00205143"/>
    <w:rsid w:val="00205F90"/>
    <w:rsid w:val="002062FB"/>
    <w:rsid w:val="00206486"/>
    <w:rsid w:val="002070CE"/>
    <w:rsid w:val="002112AE"/>
    <w:rsid w:val="0021162A"/>
    <w:rsid w:val="00212533"/>
    <w:rsid w:val="00213178"/>
    <w:rsid w:val="002136C3"/>
    <w:rsid w:val="002139F7"/>
    <w:rsid w:val="0021430D"/>
    <w:rsid w:val="00214A80"/>
    <w:rsid w:val="002170A6"/>
    <w:rsid w:val="00220883"/>
    <w:rsid w:val="00222295"/>
    <w:rsid w:val="00222646"/>
    <w:rsid w:val="00223B39"/>
    <w:rsid w:val="00223B5A"/>
    <w:rsid w:val="00223B6A"/>
    <w:rsid w:val="0022520D"/>
    <w:rsid w:val="0022521E"/>
    <w:rsid w:val="00225D45"/>
    <w:rsid w:val="00227B92"/>
    <w:rsid w:val="0023064F"/>
    <w:rsid w:val="00230B59"/>
    <w:rsid w:val="00230D33"/>
    <w:rsid w:val="00230F5C"/>
    <w:rsid w:val="0023249F"/>
    <w:rsid w:val="00233AF0"/>
    <w:rsid w:val="00236DB3"/>
    <w:rsid w:val="002372C8"/>
    <w:rsid w:val="00237873"/>
    <w:rsid w:val="00240202"/>
    <w:rsid w:val="00240393"/>
    <w:rsid w:val="002408FB"/>
    <w:rsid w:val="00241BA7"/>
    <w:rsid w:val="00243EDC"/>
    <w:rsid w:val="00243FB5"/>
    <w:rsid w:val="0024442A"/>
    <w:rsid w:val="002444EC"/>
    <w:rsid w:val="00244F6E"/>
    <w:rsid w:val="002451B1"/>
    <w:rsid w:val="00245C34"/>
    <w:rsid w:val="00246ACC"/>
    <w:rsid w:val="00246AE8"/>
    <w:rsid w:val="00247282"/>
    <w:rsid w:val="00247F9D"/>
    <w:rsid w:val="002503CD"/>
    <w:rsid w:val="00250683"/>
    <w:rsid w:val="00250EE3"/>
    <w:rsid w:val="0025295B"/>
    <w:rsid w:val="0025296D"/>
    <w:rsid w:val="00255708"/>
    <w:rsid w:val="00255F5D"/>
    <w:rsid w:val="00256FF6"/>
    <w:rsid w:val="00257E8F"/>
    <w:rsid w:val="002616D6"/>
    <w:rsid w:val="0026290E"/>
    <w:rsid w:val="00263FB7"/>
    <w:rsid w:val="0026411F"/>
    <w:rsid w:val="002645B1"/>
    <w:rsid w:val="0026539E"/>
    <w:rsid w:val="00265792"/>
    <w:rsid w:val="00265B6D"/>
    <w:rsid w:val="00270E67"/>
    <w:rsid w:val="0027146A"/>
    <w:rsid w:val="002718A2"/>
    <w:rsid w:val="00271D60"/>
    <w:rsid w:val="0027401D"/>
    <w:rsid w:val="002743B4"/>
    <w:rsid w:val="00276591"/>
    <w:rsid w:val="0027682A"/>
    <w:rsid w:val="00276A07"/>
    <w:rsid w:val="00277058"/>
    <w:rsid w:val="00281AA4"/>
    <w:rsid w:val="00281B63"/>
    <w:rsid w:val="002822C4"/>
    <w:rsid w:val="0028321D"/>
    <w:rsid w:val="00284836"/>
    <w:rsid w:val="00284CA9"/>
    <w:rsid w:val="00285322"/>
    <w:rsid w:val="0028629C"/>
    <w:rsid w:val="0028715F"/>
    <w:rsid w:val="002904C6"/>
    <w:rsid w:val="00292930"/>
    <w:rsid w:val="00294A8F"/>
    <w:rsid w:val="00294B7B"/>
    <w:rsid w:val="002964E3"/>
    <w:rsid w:val="00296644"/>
    <w:rsid w:val="00297A9A"/>
    <w:rsid w:val="002A04C7"/>
    <w:rsid w:val="002A2A0F"/>
    <w:rsid w:val="002A3CAB"/>
    <w:rsid w:val="002A464E"/>
    <w:rsid w:val="002A496D"/>
    <w:rsid w:val="002A55D9"/>
    <w:rsid w:val="002A6136"/>
    <w:rsid w:val="002A6AFE"/>
    <w:rsid w:val="002A7479"/>
    <w:rsid w:val="002A7AB0"/>
    <w:rsid w:val="002A7F9D"/>
    <w:rsid w:val="002B1113"/>
    <w:rsid w:val="002B1F0D"/>
    <w:rsid w:val="002B2302"/>
    <w:rsid w:val="002B2681"/>
    <w:rsid w:val="002B26D3"/>
    <w:rsid w:val="002B3CE9"/>
    <w:rsid w:val="002B4745"/>
    <w:rsid w:val="002B4B19"/>
    <w:rsid w:val="002B5390"/>
    <w:rsid w:val="002C0570"/>
    <w:rsid w:val="002C0ACC"/>
    <w:rsid w:val="002C1E09"/>
    <w:rsid w:val="002C38DE"/>
    <w:rsid w:val="002C3C7E"/>
    <w:rsid w:val="002C4193"/>
    <w:rsid w:val="002C4B40"/>
    <w:rsid w:val="002C530F"/>
    <w:rsid w:val="002C555D"/>
    <w:rsid w:val="002C5E52"/>
    <w:rsid w:val="002C6140"/>
    <w:rsid w:val="002C7991"/>
    <w:rsid w:val="002C7F55"/>
    <w:rsid w:val="002D0113"/>
    <w:rsid w:val="002D035A"/>
    <w:rsid w:val="002D1CAB"/>
    <w:rsid w:val="002D3AB2"/>
    <w:rsid w:val="002D64D3"/>
    <w:rsid w:val="002D6845"/>
    <w:rsid w:val="002D7024"/>
    <w:rsid w:val="002D74EF"/>
    <w:rsid w:val="002D7849"/>
    <w:rsid w:val="002E107B"/>
    <w:rsid w:val="002E10C4"/>
    <w:rsid w:val="002E1488"/>
    <w:rsid w:val="002E2836"/>
    <w:rsid w:val="002E2F2B"/>
    <w:rsid w:val="002E4EB4"/>
    <w:rsid w:val="002E4F4B"/>
    <w:rsid w:val="002E51E0"/>
    <w:rsid w:val="002E56E3"/>
    <w:rsid w:val="002E5B76"/>
    <w:rsid w:val="002E5FD6"/>
    <w:rsid w:val="002E67B3"/>
    <w:rsid w:val="002E694A"/>
    <w:rsid w:val="002E6A77"/>
    <w:rsid w:val="002E6A78"/>
    <w:rsid w:val="002E6DEC"/>
    <w:rsid w:val="002F00D1"/>
    <w:rsid w:val="002F06B1"/>
    <w:rsid w:val="002F0A3C"/>
    <w:rsid w:val="002F138E"/>
    <w:rsid w:val="002F2AFD"/>
    <w:rsid w:val="002F45E1"/>
    <w:rsid w:val="002F536C"/>
    <w:rsid w:val="002F778B"/>
    <w:rsid w:val="003010A6"/>
    <w:rsid w:val="0030144D"/>
    <w:rsid w:val="00301E7C"/>
    <w:rsid w:val="003023E2"/>
    <w:rsid w:val="00303143"/>
    <w:rsid w:val="0030667F"/>
    <w:rsid w:val="00306D11"/>
    <w:rsid w:val="0031081D"/>
    <w:rsid w:val="0031093D"/>
    <w:rsid w:val="003113FC"/>
    <w:rsid w:val="00311B61"/>
    <w:rsid w:val="00311DAE"/>
    <w:rsid w:val="0031249A"/>
    <w:rsid w:val="003129CC"/>
    <w:rsid w:val="00313B58"/>
    <w:rsid w:val="00313C1B"/>
    <w:rsid w:val="003159F3"/>
    <w:rsid w:val="003177AC"/>
    <w:rsid w:val="00317A00"/>
    <w:rsid w:val="00320354"/>
    <w:rsid w:val="00320408"/>
    <w:rsid w:val="00320DAB"/>
    <w:rsid w:val="003217CE"/>
    <w:rsid w:val="00322184"/>
    <w:rsid w:val="00324AE3"/>
    <w:rsid w:val="00324B5F"/>
    <w:rsid w:val="00324C0E"/>
    <w:rsid w:val="0032523D"/>
    <w:rsid w:val="00325E35"/>
    <w:rsid w:val="00327B9F"/>
    <w:rsid w:val="00327F46"/>
    <w:rsid w:val="00330804"/>
    <w:rsid w:val="00330A55"/>
    <w:rsid w:val="00332C0E"/>
    <w:rsid w:val="0033529F"/>
    <w:rsid w:val="003411B6"/>
    <w:rsid w:val="0034123D"/>
    <w:rsid w:val="003416E5"/>
    <w:rsid w:val="00342015"/>
    <w:rsid w:val="00344398"/>
    <w:rsid w:val="003448ED"/>
    <w:rsid w:val="0034574A"/>
    <w:rsid w:val="0034613B"/>
    <w:rsid w:val="00351677"/>
    <w:rsid w:val="00351D11"/>
    <w:rsid w:val="00352321"/>
    <w:rsid w:val="00353FC1"/>
    <w:rsid w:val="00354CE6"/>
    <w:rsid w:val="0035576E"/>
    <w:rsid w:val="00355951"/>
    <w:rsid w:val="00355F80"/>
    <w:rsid w:val="0035671D"/>
    <w:rsid w:val="00356E05"/>
    <w:rsid w:val="003619BA"/>
    <w:rsid w:val="0036365E"/>
    <w:rsid w:val="0037144F"/>
    <w:rsid w:val="00371911"/>
    <w:rsid w:val="00372E01"/>
    <w:rsid w:val="003734A6"/>
    <w:rsid w:val="00374725"/>
    <w:rsid w:val="0037482C"/>
    <w:rsid w:val="00375C65"/>
    <w:rsid w:val="00375CB5"/>
    <w:rsid w:val="003770EB"/>
    <w:rsid w:val="0037764E"/>
    <w:rsid w:val="003802BE"/>
    <w:rsid w:val="00381195"/>
    <w:rsid w:val="00384198"/>
    <w:rsid w:val="003841BE"/>
    <w:rsid w:val="00384DD6"/>
    <w:rsid w:val="003850E8"/>
    <w:rsid w:val="00385395"/>
    <w:rsid w:val="00385A1D"/>
    <w:rsid w:val="00386342"/>
    <w:rsid w:val="0038709A"/>
    <w:rsid w:val="00390099"/>
    <w:rsid w:val="00390646"/>
    <w:rsid w:val="00392100"/>
    <w:rsid w:val="00392581"/>
    <w:rsid w:val="00392A2D"/>
    <w:rsid w:val="00393747"/>
    <w:rsid w:val="00393C23"/>
    <w:rsid w:val="00394361"/>
    <w:rsid w:val="003947C2"/>
    <w:rsid w:val="00395360"/>
    <w:rsid w:val="003956C6"/>
    <w:rsid w:val="00395C11"/>
    <w:rsid w:val="00395E3E"/>
    <w:rsid w:val="00396CF9"/>
    <w:rsid w:val="00396D60"/>
    <w:rsid w:val="00397291"/>
    <w:rsid w:val="0039741D"/>
    <w:rsid w:val="003A079C"/>
    <w:rsid w:val="003A16B7"/>
    <w:rsid w:val="003A4746"/>
    <w:rsid w:val="003A6AD4"/>
    <w:rsid w:val="003A7421"/>
    <w:rsid w:val="003A7A6C"/>
    <w:rsid w:val="003B157A"/>
    <w:rsid w:val="003B210E"/>
    <w:rsid w:val="003B2240"/>
    <w:rsid w:val="003B28ED"/>
    <w:rsid w:val="003B2A60"/>
    <w:rsid w:val="003B3808"/>
    <w:rsid w:val="003B482D"/>
    <w:rsid w:val="003B6A18"/>
    <w:rsid w:val="003B72FD"/>
    <w:rsid w:val="003C00F5"/>
    <w:rsid w:val="003C3305"/>
    <w:rsid w:val="003C5DA5"/>
    <w:rsid w:val="003C5F05"/>
    <w:rsid w:val="003C5FB4"/>
    <w:rsid w:val="003C770E"/>
    <w:rsid w:val="003D02B5"/>
    <w:rsid w:val="003D2918"/>
    <w:rsid w:val="003D322A"/>
    <w:rsid w:val="003D3FF6"/>
    <w:rsid w:val="003D40DC"/>
    <w:rsid w:val="003D41DF"/>
    <w:rsid w:val="003D4F95"/>
    <w:rsid w:val="003E02E8"/>
    <w:rsid w:val="003E0327"/>
    <w:rsid w:val="003E184A"/>
    <w:rsid w:val="003E3481"/>
    <w:rsid w:val="003E3901"/>
    <w:rsid w:val="003E528A"/>
    <w:rsid w:val="003E5FD1"/>
    <w:rsid w:val="003E6809"/>
    <w:rsid w:val="003E77BC"/>
    <w:rsid w:val="003F0CD6"/>
    <w:rsid w:val="003F16AD"/>
    <w:rsid w:val="003F2810"/>
    <w:rsid w:val="003F28CD"/>
    <w:rsid w:val="003F4F99"/>
    <w:rsid w:val="003F56DA"/>
    <w:rsid w:val="003F5C49"/>
    <w:rsid w:val="003F5CD9"/>
    <w:rsid w:val="003F5D62"/>
    <w:rsid w:val="003F5DA9"/>
    <w:rsid w:val="003F6015"/>
    <w:rsid w:val="003F6224"/>
    <w:rsid w:val="003F6F6A"/>
    <w:rsid w:val="004007CF"/>
    <w:rsid w:val="004008D2"/>
    <w:rsid w:val="00400D83"/>
    <w:rsid w:val="00400E36"/>
    <w:rsid w:val="00402301"/>
    <w:rsid w:val="00402475"/>
    <w:rsid w:val="004029A3"/>
    <w:rsid w:val="00403B50"/>
    <w:rsid w:val="0040602B"/>
    <w:rsid w:val="00406E74"/>
    <w:rsid w:val="00407296"/>
    <w:rsid w:val="00407BFD"/>
    <w:rsid w:val="0041258A"/>
    <w:rsid w:val="00413106"/>
    <w:rsid w:val="0041465A"/>
    <w:rsid w:val="00415B76"/>
    <w:rsid w:val="00416871"/>
    <w:rsid w:val="00416C18"/>
    <w:rsid w:val="00416CB5"/>
    <w:rsid w:val="004171E2"/>
    <w:rsid w:val="00420666"/>
    <w:rsid w:val="00421DF8"/>
    <w:rsid w:val="004227AD"/>
    <w:rsid w:val="0042344E"/>
    <w:rsid w:val="00423A60"/>
    <w:rsid w:val="00423AB4"/>
    <w:rsid w:val="00423E1B"/>
    <w:rsid w:val="00423F4B"/>
    <w:rsid w:val="004243B5"/>
    <w:rsid w:val="00424974"/>
    <w:rsid w:val="00425A6B"/>
    <w:rsid w:val="004261C9"/>
    <w:rsid w:val="004266A5"/>
    <w:rsid w:val="00426711"/>
    <w:rsid w:val="00426DCB"/>
    <w:rsid w:val="00430E5B"/>
    <w:rsid w:val="00430EE2"/>
    <w:rsid w:val="00433810"/>
    <w:rsid w:val="00434ED1"/>
    <w:rsid w:val="00435104"/>
    <w:rsid w:val="0043626C"/>
    <w:rsid w:val="0043796F"/>
    <w:rsid w:val="00437A28"/>
    <w:rsid w:val="00440B6C"/>
    <w:rsid w:val="00441CC1"/>
    <w:rsid w:val="004431AF"/>
    <w:rsid w:val="00443296"/>
    <w:rsid w:val="004450EE"/>
    <w:rsid w:val="004452EB"/>
    <w:rsid w:val="00445590"/>
    <w:rsid w:val="004461BC"/>
    <w:rsid w:val="00447EF0"/>
    <w:rsid w:val="00450F98"/>
    <w:rsid w:val="00452B66"/>
    <w:rsid w:val="0045326E"/>
    <w:rsid w:val="004532A0"/>
    <w:rsid w:val="004539BB"/>
    <w:rsid w:val="004539FF"/>
    <w:rsid w:val="00456A15"/>
    <w:rsid w:val="00456B52"/>
    <w:rsid w:val="0045756F"/>
    <w:rsid w:val="00457B55"/>
    <w:rsid w:val="00457B74"/>
    <w:rsid w:val="00460007"/>
    <w:rsid w:val="004615DF"/>
    <w:rsid w:val="0046198E"/>
    <w:rsid w:val="004648CF"/>
    <w:rsid w:val="004649A9"/>
    <w:rsid w:val="00467CBD"/>
    <w:rsid w:val="00470BDD"/>
    <w:rsid w:val="00474D65"/>
    <w:rsid w:val="00475E18"/>
    <w:rsid w:val="004775D4"/>
    <w:rsid w:val="0047765F"/>
    <w:rsid w:val="00480249"/>
    <w:rsid w:val="00480441"/>
    <w:rsid w:val="00481528"/>
    <w:rsid w:val="00481B20"/>
    <w:rsid w:val="004822DD"/>
    <w:rsid w:val="004827B6"/>
    <w:rsid w:val="0048316E"/>
    <w:rsid w:val="00483287"/>
    <w:rsid w:val="004834DB"/>
    <w:rsid w:val="0048372A"/>
    <w:rsid w:val="004840D7"/>
    <w:rsid w:val="00487387"/>
    <w:rsid w:val="004879E2"/>
    <w:rsid w:val="00490339"/>
    <w:rsid w:val="00490803"/>
    <w:rsid w:val="004909E2"/>
    <w:rsid w:val="00490B1D"/>
    <w:rsid w:val="00490B36"/>
    <w:rsid w:val="00492C4D"/>
    <w:rsid w:val="00493419"/>
    <w:rsid w:val="0049460E"/>
    <w:rsid w:val="00494A70"/>
    <w:rsid w:val="0049634C"/>
    <w:rsid w:val="004A1817"/>
    <w:rsid w:val="004A18B8"/>
    <w:rsid w:val="004A1EA7"/>
    <w:rsid w:val="004A26CD"/>
    <w:rsid w:val="004A412C"/>
    <w:rsid w:val="004A431A"/>
    <w:rsid w:val="004A4A0B"/>
    <w:rsid w:val="004A5557"/>
    <w:rsid w:val="004A5605"/>
    <w:rsid w:val="004A67B7"/>
    <w:rsid w:val="004A7269"/>
    <w:rsid w:val="004B1202"/>
    <w:rsid w:val="004B1871"/>
    <w:rsid w:val="004B4820"/>
    <w:rsid w:val="004B7110"/>
    <w:rsid w:val="004B75AE"/>
    <w:rsid w:val="004B7788"/>
    <w:rsid w:val="004B7C48"/>
    <w:rsid w:val="004C1076"/>
    <w:rsid w:val="004C1124"/>
    <w:rsid w:val="004C1A68"/>
    <w:rsid w:val="004C4421"/>
    <w:rsid w:val="004C4F85"/>
    <w:rsid w:val="004C5F32"/>
    <w:rsid w:val="004C7765"/>
    <w:rsid w:val="004D2BB8"/>
    <w:rsid w:val="004D2E92"/>
    <w:rsid w:val="004D31AA"/>
    <w:rsid w:val="004D4161"/>
    <w:rsid w:val="004D644F"/>
    <w:rsid w:val="004D6739"/>
    <w:rsid w:val="004D73D1"/>
    <w:rsid w:val="004D794B"/>
    <w:rsid w:val="004E1C5A"/>
    <w:rsid w:val="004E28B0"/>
    <w:rsid w:val="004E2BC5"/>
    <w:rsid w:val="004E3238"/>
    <w:rsid w:val="004E362E"/>
    <w:rsid w:val="004E3B4F"/>
    <w:rsid w:val="004E4FCD"/>
    <w:rsid w:val="004E5C78"/>
    <w:rsid w:val="004E6337"/>
    <w:rsid w:val="004E7203"/>
    <w:rsid w:val="004E7A32"/>
    <w:rsid w:val="004E7E96"/>
    <w:rsid w:val="004E7EBF"/>
    <w:rsid w:val="004F2422"/>
    <w:rsid w:val="004F264A"/>
    <w:rsid w:val="004F2B0C"/>
    <w:rsid w:val="004F2B44"/>
    <w:rsid w:val="004F2DDF"/>
    <w:rsid w:val="004F3070"/>
    <w:rsid w:val="004F5869"/>
    <w:rsid w:val="004F6153"/>
    <w:rsid w:val="004F6DAD"/>
    <w:rsid w:val="00501435"/>
    <w:rsid w:val="00502292"/>
    <w:rsid w:val="005028B5"/>
    <w:rsid w:val="00502DC8"/>
    <w:rsid w:val="0050303B"/>
    <w:rsid w:val="00506B1C"/>
    <w:rsid w:val="005070A3"/>
    <w:rsid w:val="00511E35"/>
    <w:rsid w:val="005137AE"/>
    <w:rsid w:val="0051531A"/>
    <w:rsid w:val="00515C45"/>
    <w:rsid w:val="0051614A"/>
    <w:rsid w:val="00516F5C"/>
    <w:rsid w:val="00517108"/>
    <w:rsid w:val="005226FB"/>
    <w:rsid w:val="00522A98"/>
    <w:rsid w:val="00523767"/>
    <w:rsid w:val="00523DC9"/>
    <w:rsid w:val="00524A09"/>
    <w:rsid w:val="00525B68"/>
    <w:rsid w:val="00526783"/>
    <w:rsid w:val="005303D5"/>
    <w:rsid w:val="0053046C"/>
    <w:rsid w:val="005306FB"/>
    <w:rsid w:val="005307E3"/>
    <w:rsid w:val="00530B85"/>
    <w:rsid w:val="00531919"/>
    <w:rsid w:val="00534514"/>
    <w:rsid w:val="00534E42"/>
    <w:rsid w:val="00536385"/>
    <w:rsid w:val="00536B1A"/>
    <w:rsid w:val="00537F0B"/>
    <w:rsid w:val="00542382"/>
    <w:rsid w:val="00544E25"/>
    <w:rsid w:val="005458E5"/>
    <w:rsid w:val="00546371"/>
    <w:rsid w:val="00546404"/>
    <w:rsid w:val="005507E1"/>
    <w:rsid w:val="005519A0"/>
    <w:rsid w:val="00551CD0"/>
    <w:rsid w:val="00555ED5"/>
    <w:rsid w:val="005563F0"/>
    <w:rsid w:val="0055669A"/>
    <w:rsid w:val="00557061"/>
    <w:rsid w:val="00557484"/>
    <w:rsid w:val="00557A75"/>
    <w:rsid w:val="00560CB8"/>
    <w:rsid w:val="00562311"/>
    <w:rsid w:val="00562DD8"/>
    <w:rsid w:val="0056378D"/>
    <w:rsid w:val="00563E27"/>
    <w:rsid w:val="005653F2"/>
    <w:rsid w:val="00565C7D"/>
    <w:rsid w:val="005672A7"/>
    <w:rsid w:val="005673F6"/>
    <w:rsid w:val="0056794A"/>
    <w:rsid w:val="0056796C"/>
    <w:rsid w:val="00570484"/>
    <w:rsid w:val="00570531"/>
    <w:rsid w:val="00570E80"/>
    <w:rsid w:val="00570FAF"/>
    <w:rsid w:val="00571270"/>
    <w:rsid w:val="00571E1C"/>
    <w:rsid w:val="00572B46"/>
    <w:rsid w:val="00574BD2"/>
    <w:rsid w:val="00574F55"/>
    <w:rsid w:val="00576BA5"/>
    <w:rsid w:val="005770AE"/>
    <w:rsid w:val="00577B8D"/>
    <w:rsid w:val="0058043C"/>
    <w:rsid w:val="0058085B"/>
    <w:rsid w:val="00580BC7"/>
    <w:rsid w:val="00580DE7"/>
    <w:rsid w:val="005812CB"/>
    <w:rsid w:val="00581355"/>
    <w:rsid w:val="00582BB2"/>
    <w:rsid w:val="00583154"/>
    <w:rsid w:val="005831B5"/>
    <w:rsid w:val="0058447B"/>
    <w:rsid w:val="005867FA"/>
    <w:rsid w:val="005877CF"/>
    <w:rsid w:val="00593286"/>
    <w:rsid w:val="00593389"/>
    <w:rsid w:val="005938B3"/>
    <w:rsid w:val="005944E0"/>
    <w:rsid w:val="00594A52"/>
    <w:rsid w:val="005958EE"/>
    <w:rsid w:val="00595D0B"/>
    <w:rsid w:val="00596185"/>
    <w:rsid w:val="005A02DF"/>
    <w:rsid w:val="005A05DD"/>
    <w:rsid w:val="005A0FB5"/>
    <w:rsid w:val="005A3105"/>
    <w:rsid w:val="005A3198"/>
    <w:rsid w:val="005A321E"/>
    <w:rsid w:val="005B1635"/>
    <w:rsid w:val="005B2909"/>
    <w:rsid w:val="005B2A6F"/>
    <w:rsid w:val="005B2CEE"/>
    <w:rsid w:val="005B3490"/>
    <w:rsid w:val="005B4100"/>
    <w:rsid w:val="005B4274"/>
    <w:rsid w:val="005B5CE9"/>
    <w:rsid w:val="005B768D"/>
    <w:rsid w:val="005B7A1C"/>
    <w:rsid w:val="005C08FF"/>
    <w:rsid w:val="005C1287"/>
    <w:rsid w:val="005C2171"/>
    <w:rsid w:val="005C2A58"/>
    <w:rsid w:val="005C3796"/>
    <w:rsid w:val="005C3E23"/>
    <w:rsid w:val="005C6189"/>
    <w:rsid w:val="005C64FD"/>
    <w:rsid w:val="005C7F1C"/>
    <w:rsid w:val="005D2282"/>
    <w:rsid w:val="005D4E1B"/>
    <w:rsid w:val="005D57B2"/>
    <w:rsid w:val="005D60D2"/>
    <w:rsid w:val="005D7244"/>
    <w:rsid w:val="005D7799"/>
    <w:rsid w:val="005D7CA8"/>
    <w:rsid w:val="005D7D4C"/>
    <w:rsid w:val="005E0563"/>
    <w:rsid w:val="005E13D6"/>
    <w:rsid w:val="005E1484"/>
    <w:rsid w:val="005E17E5"/>
    <w:rsid w:val="005E18F5"/>
    <w:rsid w:val="005E2626"/>
    <w:rsid w:val="005E29D4"/>
    <w:rsid w:val="005E5394"/>
    <w:rsid w:val="005E6E58"/>
    <w:rsid w:val="005F1B2B"/>
    <w:rsid w:val="005F1DFB"/>
    <w:rsid w:val="005F5183"/>
    <w:rsid w:val="005F7133"/>
    <w:rsid w:val="0060050F"/>
    <w:rsid w:val="00601406"/>
    <w:rsid w:val="00603479"/>
    <w:rsid w:val="006041A0"/>
    <w:rsid w:val="006067A1"/>
    <w:rsid w:val="00607214"/>
    <w:rsid w:val="00607C27"/>
    <w:rsid w:val="00610536"/>
    <w:rsid w:val="00611647"/>
    <w:rsid w:val="00611904"/>
    <w:rsid w:val="00611EE4"/>
    <w:rsid w:val="00612905"/>
    <w:rsid w:val="006139D8"/>
    <w:rsid w:val="00613CBC"/>
    <w:rsid w:val="00614494"/>
    <w:rsid w:val="00614CC8"/>
    <w:rsid w:val="006156C9"/>
    <w:rsid w:val="00621350"/>
    <w:rsid w:val="006231D1"/>
    <w:rsid w:val="0062328A"/>
    <w:rsid w:val="0062456A"/>
    <w:rsid w:val="00624782"/>
    <w:rsid w:val="00624A60"/>
    <w:rsid w:val="00624F8E"/>
    <w:rsid w:val="006257DA"/>
    <w:rsid w:val="00625C89"/>
    <w:rsid w:val="0062687B"/>
    <w:rsid w:val="006273BD"/>
    <w:rsid w:val="00627F37"/>
    <w:rsid w:val="006306FF"/>
    <w:rsid w:val="00630BFD"/>
    <w:rsid w:val="0063170D"/>
    <w:rsid w:val="00631770"/>
    <w:rsid w:val="00632210"/>
    <w:rsid w:val="006322AA"/>
    <w:rsid w:val="00633C3E"/>
    <w:rsid w:val="006352B9"/>
    <w:rsid w:val="006358F5"/>
    <w:rsid w:val="00640399"/>
    <w:rsid w:val="006404AE"/>
    <w:rsid w:val="00640535"/>
    <w:rsid w:val="00642D46"/>
    <w:rsid w:val="00643A9A"/>
    <w:rsid w:val="00643AF9"/>
    <w:rsid w:val="00643D11"/>
    <w:rsid w:val="00647C03"/>
    <w:rsid w:val="00650A0C"/>
    <w:rsid w:val="006524C7"/>
    <w:rsid w:val="00652CCB"/>
    <w:rsid w:val="00654A05"/>
    <w:rsid w:val="00654F1E"/>
    <w:rsid w:val="00654F92"/>
    <w:rsid w:val="006551EA"/>
    <w:rsid w:val="00655404"/>
    <w:rsid w:val="00655D8F"/>
    <w:rsid w:val="0065620C"/>
    <w:rsid w:val="006562ED"/>
    <w:rsid w:val="00657828"/>
    <w:rsid w:val="00657A11"/>
    <w:rsid w:val="00657E3B"/>
    <w:rsid w:val="006605D3"/>
    <w:rsid w:val="00660647"/>
    <w:rsid w:val="006650BC"/>
    <w:rsid w:val="0066606F"/>
    <w:rsid w:val="0066683A"/>
    <w:rsid w:val="006672CA"/>
    <w:rsid w:val="006677D5"/>
    <w:rsid w:val="00667F76"/>
    <w:rsid w:val="00671BAA"/>
    <w:rsid w:val="0067286A"/>
    <w:rsid w:val="00672DEA"/>
    <w:rsid w:val="00672E32"/>
    <w:rsid w:val="006747FC"/>
    <w:rsid w:val="00676995"/>
    <w:rsid w:val="006769F5"/>
    <w:rsid w:val="00676EE8"/>
    <w:rsid w:val="0067771C"/>
    <w:rsid w:val="006804BC"/>
    <w:rsid w:val="00680601"/>
    <w:rsid w:val="006811CD"/>
    <w:rsid w:val="006815C1"/>
    <w:rsid w:val="00681FC4"/>
    <w:rsid w:val="0068259A"/>
    <w:rsid w:val="00682AD0"/>
    <w:rsid w:val="00683E28"/>
    <w:rsid w:val="00684CB1"/>
    <w:rsid w:val="00685651"/>
    <w:rsid w:val="00686093"/>
    <w:rsid w:val="00690C42"/>
    <w:rsid w:val="00691170"/>
    <w:rsid w:val="006920A0"/>
    <w:rsid w:val="0069240B"/>
    <w:rsid w:val="00692B30"/>
    <w:rsid w:val="00693A4B"/>
    <w:rsid w:val="0069457A"/>
    <w:rsid w:val="0069579E"/>
    <w:rsid w:val="00695C94"/>
    <w:rsid w:val="00695E74"/>
    <w:rsid w:val="00696C42"/>
    <w:rsid w:val="006977E2"/>
    <w:rsid w:val="006A0D87"/>
    <w:rsid w:val="006A2881"/>
    <w:rsid w:val="006A2A01"/>
    <w:rsid w:val="006A653C"/>
    <w:rsid w:val="006A665A"/>
    <w:rsid w:val="006A75E9"/>
    <w:rsid w:val="006B1B4E"/>
    <w:rsid w:val="006B1C19"/>
    <w:rsid w:val="006B1F32"/>
    <w:rsid w:val="006B2514"/>
    <w:rsid w:val="006B2B35"/>
    <w:rsid w:val="006B32EF"/>
    <w:rsid w:val="006B36BB"/>
    <w:rsid w:val="006B4098"/>
    <w:rsid w:val="006B451B"/>
    <w:rsid w:val="006B4906"/>
    <w:rsid w:val="006B5086"/>
    <w:rsid w:val="006B51F7"/>
    <w:rsid w:val="006B56B1"/>
    <w:rsid w:val="006B5F06"/>
    <w:rsid w:val="006B636A"/>
    <w:rsid w:val="006B7D5E"/>
    <w:rsid w:val="006C0162"/>
    <w:rsid w:val="006C0417"/>
    <w:rsid w:val="006C074E"/>
    <w:rsid w:val="006C1128"/>
    <w:rsid w:val="006C2CB5"/>
    <w:rsid w:val="006C458B"/>
    <w:rsid w:val="006C5404"/>
    <w:rsid w:val="006C7FB0"/>
    <w:rsid w:val="006D0D3F"/>
    <w:rsid w:val="006D12F9"/>
    <w:rsid w:val="006D1C2D"/>
    <w:rsid w:val="006D22DC"/>
    <w:rsid w:val="006D2ECE"/>
    <w:rsid w:val="006D406B"/>
    <w:rsid w:val="006D4504"/>
    <w:rsid w:val="006D45D5"/>
    <w:rsid w:val="006D4F04"/>
    <w:rsid w:val="006D53DD"/>
    <w:rsid w:val="006D5C8B"/>
    <w:rsid w:val="006D6444"/>
    <w:rsid w:val="006D798D"/>
    <w:rsid w:val="006E105A"/>
    <w:rsid w:val="006E115E"/>
    <w:rsid w:val="006E18B8"/>
    <w:rsid w:val="006E7477"/>
    <w:rsid w:val="006E7C41"/>
    <w:rsid w:val="006E7EFB"/>
    <w:rsid w:val="006F06E4"/>
    <w:rsid w:val="006F156F"/>
    <w:rsid w:val="006F298F"/>
    <w:rsid w:val="006F32B7"/>
    <w:rsid w:val="006F3562"/>
    <w:rsid w:val="006F432E"/>
    <w:rsid w:val="006F4E05"/>
    <w:rsid w:val="006F50FD"/>
    <w:rsid w:val="006F6012"/>
    <w:rsid w:val="006F674A"/>
    <w:rsid w:val="006F6E00"/>
    <w:rsid w:val="00701D52"/>
    <w:rsid w:val="00702A8A"/>
    <w:rsid w:val="00703585"/>
    <w:rsid w:val="00703E33"/>
    <w:rsid w:val="00704A5F"/>
    <w:rsid w:val="00705A21"/>
    <w:rsid w:val="00707C9A"/>
    <w:rsid w:val="00707F66"/>
    <w:rsid w:val="00712278"/>
    <w:rsid w:val="007131A4"/>
    <w:rsid w:val="00713F57"/>
    <w:rsid w:val="0071438F"/>
    <w:rsid w:val="00714F84"/>
    <w:rsid w:val="00715AF2"/>
    <w:rsid w:val="00716C81"/>
    <w:rsid w:val="00717217"/>
    <w:rsid w:val="00717601"/>
    <w:rsid w:val="00717E8C"/>
    <w:rsid w:val="00720125"/>
    <w:rsid w:val="00721000"/>
    <w:rsid w:val="00721C06"/>
    <w:rsid w:val="00722305"/>
    <w:rsid w:val="00724593"/>
    <w:rsid w:val="00724950"/>
    <w:rsid w:val="00724A30"/>
    <w:rsid w:val="0072548E"/>
    <w:rsid w:val="00726178"/>
    <w:rsid w:val="00726508"/>
    <w:rsid w:val="00727971"/>
    <w:rsid w:val="00727E21"/>
    <w:rsid w:val="007309DC"/>
    <w:rsid w:val="00733A94"/>
    <w:rsid w:val="007352C7"/>
    <w:rsid w:val="00735489"/>
    <w:rsid w:val="00736E8F"/>
    <w:rsid w:val="00736FDA"/>
    <w:rsid w:val="0073743D"/>
    <w:rsid w:val="007379F6"/>
    <w:rsid w:val="0074031F"/>
    <w:rsid w:val="007408EB"/>
    <w:rsid w:val="00740DE1"/>
    <w:rsid w:val="007447CD"/>
    <w:rsid w:val="0074567E"/>
    <w:rsid w:val="00746004"/>
    <w:rsid w:val="00746B1A"/>
    <w:rsid w:val="007474B3"/>
    <w:rsid w:val="00747C35"/>
    <w:rsid w:val="00751102"/>
    <w:rsid w:val="00751A66"/>
    <w:rsid w:val="00752982"/>
    <w:rsid w:val="00752C3F"/>
    <w:rsid w:val="0075402E"/>
    <w:rsid w:val="0075415A"/>
    <w:rsid w:val="00754FE3"/>
    <w:rsid w:val="00755197"/>
    <w:rsid w:val="007551C8"/>
    <w:rsid w:val="00755206"/>
    <w:rsid w:val="00756C99"/>
    <w:rsid w:val="007605CF"/>
    <w:rsid w:val="00760966"/>
    <w:rsid w:val="00760FB8"/>
    <w:rsid w:val="00762D57"/>
    <w:rsid w:val="007635EA"/>
    <w:rsid w:val="00763C79"/>
    <w:rsid w:val="00764D5C"/>
    <w:rsid w:val="007658D7"/>
    <w:rsid w:val="007661EF"/>
    <w:rsid w:val="00766884"/>
    <w:rsid w:val="00766E36"/>
    <w:rsid w:val="007673D7"/>
    <w:rsid w:val="00767DC6"/>
    <w:rsid w:val="007708F7"/>
    <w:rsid w:val="00771916"/>
    <w:rsid w:val="00771BBA"/>
    <w:rsid w:val="0077385C"/>
    <w:rsid w:val="00774363"/>
    <w:rsid w:val="0077533B"/>
    <w:rsid w:val="00775A23"/>
    <w:rsid w:val="0077627C"/>
    <w:rsid w:val="00776615"/>
    <w:rsid w:val="00776FAE"/>
    <w:rsid w:val="007816A9"/>
    <w:rsid w:val="0078253A"/>
    <w:rsid w:val="00782687"/>
    <w:rsid w:val="00782F09"/>
    <w:rsid w:val="007841C8"/>
    <w:rsid w:val="00784DC4"/>
    <w:rsid w:val="007856E3"/>
    <w:rsid w:val="007875CC"/>
    <w:rsid w:val="00787B70"/>
    <w:rsid w:val="00791040"/>
    <w:rsid w:val="0079399F"/>
    <w:rsid w:val="007945DA"/>
    <w:rsid w:val="00794FEC"/>
    <w:rsid w:val="00795256"/>
    <w:rsid w:val="00795507"/>
    <w:rsid w:val="00795839"/>
    <w:rsid w:val="00795908"/>
    <w:rsid w:val="00795D64"/>
    <w:rsid w:val="007964BC"/>
    <w:rsid w:val="007977E3"/>
    <w:rsid w:val="007A0422"/>
    <w:rsid w:val="007A134E"/>
    <w:rsid w:val="007A2157"/>
    <w:rsid w:val="007A375F"/>
    <w:rsid w:val="007A387A"/>
    <w:rsid w:val="007A454A"/>
    <w:rsid w:val="007A4F9B"/>
    <w:rsid w:val="007A6324"/>
    <w:rsid w:val="007A6DCA"/>
    <w:rsid w:val="007A749C"/>
    <w:rsid w:val="007A7812"/>
    <w:rsid w:val="007A794F"/>
    <w:rsid w:val="007B083F"/>
    <w:rsid w:val="007B0AB1"/>
    <w:rsid w:val="007B0DCB"/>
    <w:rsid w:val="007B2D64"/>
    <w:rsid w:val="007B3B9B"/>
    <w:rsid w:val="007B4A82"/>
    <w:rsid w:val="007B4CFE"/>
    <w:rsid w:val="007B532B"/>
    <w:rsid w:val="007B5587"/>
    <w:rsid w:val="007B5C4E"/>
    <w:rsid w:val="007B64B4"/>
    <w:rsid w:val="007B7711"/>
    <w:rsid w:val="007B7A7E"/>
    <w:rsid w:val="007C0684"/>
    <w:rsid w:val="007C1B27"/>
    <w:rsid w:val="007C201F"/>
    <w:rsid w:val="007C23F1"/>
    <w:rsid w:val="007C2A91"/>
    <w:rsid w:val="007C350B"/>
    <w:rsid w:val="007C4224"/>
    <w:rsid w:val="007C4C26"/>
    <w:rsid w:val="007C4D43"/>
    <w:rsid w:val="007C53A0"/>
    <w:rsid w:val="007C63B5"/>
    <w:rsid w:val="007C6D6D"/>
    <w:rsid w:val="007D01D1"/>
    <w:rsid w:val="007D0373"/>
    <w:rsid w:val="007D14A0"/>
    <w:rsid w:val="007D1DC1"/>
    <w:rsid w:val="007D25CD"/>
    <w:rsid w:val="007D2885"/>
    <w:rsid w:val="007D2C81"/>
    <w:rsid w:val="007D5EBF"/>
    <w:rsid w:val="007D63CA"/>
    <w:rsid w:val="007D71FA"/>
    <w:rsid w:val="007D778F"/>
    <w:rsid w:val="007E03BD"/>
    <w:rsid w:val="007E1631"/>
    <w:rsid w:val="007E2933"/>
    <w:rsid w:val="007E31E5"/>
    <w:rsid w:val="007E339A"/>
    <w:rsid w:val="007E3822"/>
    <w:rsid w:val="007E3DAA"/>
    <w:rsid w:val="007E4824"/>
    <w:rsid w:val="007E49B6"/>
    <w:rsid w:val="007E4FB1"/>
    <w:rsid w:val="007E55A8"/>
    <w:rsid w:val="007E5B0B"/>
    <w:rsid w:val="007F2326"/>
    <w:rsid w:val="007F2BF8"/>
    <w:rsid w:val="007F3C53"/>
    <w:rsid w:val="007F66D2"/>
    <w:rsid w:val="007F76FB"/>
    <w:rsid w:val="007F7E36"/>
    <w:rsid w:val="008012D2"/>
    <w:rsid w:val="00801835"/>
    <w:rsid w:val="00802540"/>
    <w:rsid w:val="0080280F"/>
    <w:rsid w:val="0080294B"/>
    <w:rsid w:val="008033C9"/>
    <w:rsid w:val="00803A9C"/>
    <w:rsid w:val="00805CE1"/>
    <w:rsid w:val="0080711B"/>
    <w:rsid w:val="0080789B"/>
    <w:rsid w:val="00811D87"/>
    <w:rsid w:val="00811EC7"/>
    <w:rsid w:val="0081237D"/>
    <w:rsid w:val="00812C5F"/>
    <w:rsid w:val="00812CBF"/>
    <w:rsid w:val="0081468E"/>
    <w:rsid w:val="008167F2"/>
    <w:rsid w:val="00821214"/>
    <w:rsid w:val="00821636"/>
    <w:rsid w:val="0082196E"/>
    <w:rsid w:val="00823F95"/>
    <w:rsid w:val="00825484"/>
    <w:rsid w:val="00826470"/>
    <w:rsid w:val="008272E4"/>
    <w:rsid w:val="008318FF"/>
    <w:rsid w:val="008322A5"/>
    <w:rsid w:val="008324FA"/>
    <w:rsid w:val="0083442B"/>
    <w:rsid w:val="0083505A"/>
    <w:rsid w:val="00835838"/>
    <w:rsid w:val="00835B6D"/>
    <w:rsid w:val="00835CBC"/>
    <w:rsid w:val="00836A2D"/>
    <w:rsid w:val="00841D28"/>
    <w:rsid w:val="0084208F"/>
    <w:rsid w:val="0084257F"/>
    <w:rsid w:val="00842854"/>
    <w:rsid w:val="00843B64"/>
    <w:rsid w:val="00844C6E"/>
    <w:rsid w:val="00845E58"/>
    <w:rsid w:val="008464F4"/>
    <w:rsid w:val="00850674"/>
    <w:rsid w:val="00850774"/>
    <w:rsid w:val="00851BA6"/>
    <w:rsid w:val="008523B5"/>
    <w:rsid w:val="00852CDE"/>
    <w:rsid w:val="00856959"/>
    <w:rsid w:val="00856B19"/>
    <w:rsid w:val="00857758"/>
    <w:rsid w:val="0085786A"/>
    <w:rsid w:val="00857A1D"/>
    <w:rsid w:val="008614DB"/>
    <w:rsid w:val="00861BA1"/>
    <w:rsid w:val="0086241B"/>
    <w:rsid w:val="00862504"/>
    <w:rsid w:val="00862777"/>
    <w:rsid w:val="00862C78"/>
    <w:rsid w:val="00863410"/>
    <w:rsid w:val="00864DE7"/>
    <w:rsid w:val="00865210"/>
    <w:rsid w:val="008668FA"/>
    <w:rsid w:val="00866FAA"/>
    <w:rsid w:val="00867DAE"/>
    <w:rsid w:val="008708E5"/>
    <w:rsid w:val="00871150"/>
    <w:rsid w:val="00871A0B"/>
    <w:rsid w:val="0087246F"/>
    <w:rsid w:val="008747FF"/>
    <w:rsid w:val="00874B3B"/>
    <w:rsid w:val="008755AC"/>
    <w:rsid w:val="0087582B"/>
    <w:rsid w:val="0087629A"/>
    <w:rsid w:val="008764A3"/>
    <w:rsid w:val="008764CF"/>
    <w:rsid w:val="00876F9C"/>
    <w:rsid w:val="008818B1"/>
    <w:rsid w:val="00882970"/>
    <w:rsid w:val="0088365D"/>
    <w:rsid w:val="00884748"/>
    <w:rsid w:val="00884BF5"/>
    <w:rsid w:val="00884DBA"/>
    <w:rsid w:val="00886AEF"/>
    <w:rsid w:val="0088709B"/>
    <w:rsid w:val="00890B8F"/>
    <w:rsid w:val="008927AD"/>
    <w:rsid w:val="0089327F"/>
    <w:rsid w:val="00893F6C"/>
    <w:rsid w:val="008940C4"/>
    <w:rsid w:val="0089652E"/>
    <w:rsid w:val="008978D3"/>
    <w:rsid w:val="0089798B"/>
    <w:rsid w:val="008A2274"/>
    <w:rsid w:val="008A37DB"/>
    <w:rsid w:val="008A3890"/>
    <w:rsid w:val="008A3D01"/>
    <w:rsid w:val="008A4CF0"/>
    <w:rsid w:val="008A4FC3"/>
    <w:rsid w:val="008A6FEC"/>
    <w:rsid w:val="008A732B"/>
    <w:rsid w:val="008A7558"/>
    <w:rsid w:val="008B13F0"/>
    <w:rsid w:val="008B1BF4"/>
    <w:rsid w:val="008B2CDC"/>
    <w:rsid w:val="008B59E7"/>
    <w:rsid w:val="008B6A7E"/>
    <w:rsid w:val="008B6D66"/>
    <w:rsid w:val="008C109B"/>
    <w:rsid w:val="008C2799"/>
    <w:rsid w:val="008C2C23"/>
    <w:rsid w:val="008C5692"/>
    <w:rsid w:val="008C7CD2"/>
    <w:rsid w:val="008D2361"/>
    <w:rsid w:val="008D2F6A"/>
    <w:rsid w:val="008D3577"/>
    <w:rsid w:val="008D425D"/>
    <w:rsid w:val="008D48BC"/>
    <w:rsid w:val="008D5E61"/>
    <w:rsid w:val="008D6ED1"/>
    <w:rsid w:val="008D77C8"/>
    <w:rsid w:val="008E0AEA"/>
    <w:rsid w:val="008E0BC8"/>
    <w:rsid w:val="008E2662"/>
    <w:rsid w:val="008E2982"/>
    <w:rsid w:val="008E41EF"/>
    <w:rsid w:val="008E4E4D"/>
    <w:rsid w:val="008E65F4"/>
    <w:rsid w:val="008E6E93"/>
    <w:rsid w:val="008F0837"/>
    <w:rsid w:val="008F4A0E"/>
    <w:rsid w:val="008F545F"/>
    <w:rsid w:val="008F59AD"/>
    <w:rsid w:val="008F7A7C"/>
    <w:rsid w:val="008F7F09"/>
    <w:rsid w:val="00900597"/>
    <w:rsid w:val="009012DF"/>
    <w:rsid w:val="0090158C"/>
    <w:rsid w:val="009039EA"/>
    <w:rsid w:val="00904C63"/>
    <w:rsid w:val="00905204"/>
    <w:rsid w:val="00911E9A"/>
    <w:rsid w:val="009123B8"/>
    <w:rsid w:val="0091246B"/>
    <w:rsid w:val="009127CE"/>
    <w:rsid w:val="009128EE"/>
    <w:rsid w:val="00913010"/>
    <w:rsid w:val="0091354F"/>
    <w:rsid w:val="0091356B"/>
    <w:rsid w:val="009149E8"/>
    <w:rsid w:val="009164AF"/>
    <w:rsid w:val="009165EF"/>
    <w:rsid w:val="00916B74"/>
    <w:rsid w:val="00917555"/>
    <w:rsid w:val="00917D31"/>
    <w:rsid w:val="009205A5"/>
    <w:rsid w:val="0092162D"/>
    <w:rsid w:val="00921E5D"/>
    <w:rsid w:val="00922A03"/>
    <w:rsid w:val="00922D3F"/>
    <w:rsid w:val="009241EC"/>
    <w:rsid w:val="00926861"/>
    <w:rsid w:val="00926B3E"/>
    <w:rsid w:val="009276B1"/>
    <w:rsid w:val="00927EA5"/>
    <w:rsid w:val="00931906"/>
    <w:rsid w:val="00932C54"/>
    <w:rsid w:val="00932D7C"/>
    <w:rsid w:val="009339FD"/>
    <w:rsid w:val="00933B7D"/>
    <w:rsid w:val="00933F01"/>
    <w:rsid w:val="009358FD"/>
    <w:rsid w:val="00935A42"/>
    <w:rsid w:val="00935B18"/>
    <w:rsid w:val="00936467"/>
    <w:rsid w:val="009379AF"/>
    <w:rsid w:val="0094005B"/>
    <w:rsid w:val="00941F04"/>
    <w:rsid w:val="00942C13"/>
    <w:rsid w:val="00942D0F"/>
    <w:rsid w:val="009433FE"/>
    <w:rsid w:val="00944A87"/>
    <w:rsid w:val="00944D41"/>
    <w:rsid w:val="00944E0A"/>
    <w:rsid w:val="00945D9A"/>
    <w:rsid w:val="00946104"/>
    <w:rsid w:val="0094686B"/>
    <w:rsid w:val="00947319"/>
    <w:rsid w:val="0095077A"/>
    <w:rsid w:val="00950D52"/>
    <w:rsid w:val="00950D57"/>
    <w:rsid w:val="0095203B"/>
    <w:rsid w:val="009530D6"/>
    <w:rsid w:val="009536E8"/>
    <w:rsid w:val="00953AE3"/>
    <w:rsid w:val="00954EEE"/>
    <w:rsid w:val="009568E2"/>
    <w:rsid w:val="00956917"/>
    <w:rsid w:val="00956BEF"/>
    <w:rsid w:val="00957C95"/>
    <w:rsid w:val="00957FFA"/>
    <w:rsid w:val="0096031C"/>
    <w:rsid w:val="00960A9E"/>
    <w:rsid w:val="009617CA"/>
    <w:rsid w:val="0096192A"/>
    <w:rsid w:val="00962303"/>
    <w:rsid w:val="009631D9"/>
    <w:rsid w:val="0096431E"/>
    <w:rsid w:val="00964CDB"/>
    <w:rsid w:val="00965610"/>
    <w:rsid w:val="00966413"/>
    <w:rsid w:val="00966DA2"/>
    <w:rsid w:val="0096752F"/>
    <w:rsid w:val="0097049E"/>
    <w:rsid w:val="00972050"/>
    <w:rsid w:val="00972072"/>
    <w:rsid w:val="00972482"/>
    <w:rsid w:val="00974008"/>
    <w:rsid w:val="009743B2"/>
    <w:rsid w:val="00975CA3"/>
    <w:rsid w:val="00975E80"/>
    <w:rsid w:val="00975EC9"/>
    <w:rsid w:val="009778DF"/>
    <w:rsid w:val="00977E6F"/>
    <w:rsid w:val="0098070E"/>
    <w:rsid w:val="00980AE7"/>
    <w:rsid w:val="009839DF"/>
    <w:rsid w:val="00983A33"/>
    <w:rsid w:val="00985641"/>
    <w:rsid w:val="009856BE"/>
    <w:rsid w:val="00986BA5"/>
    <w:rsid w:val="0098749A"/>
    <w:rsid w:val="00987AA5"/>
    <w:rsid w:val="00987D57"/>
    <w:rsid w:val="009904F8"/>
    <w:rsid w:val="00990B39"/>
    <w:rsid w:val="009915B8"/>
    <w:rsid w:val="00991615"/>
    <w:rsid w:val="009938F4"/>
    <w:rsid w:val="009950CC"/>
    <w:rsid w:val="00996B0D"/>
    <w:rsid w:val="00996BFF"/>
    <w:rsid w:val="009972E8"/>
    <w:rsid w:val="009978FD"/>
    <w:rsid w:val="00997D69"/>
    <w:rsid w:val="009A11D7"/>
    <w:rsid w:val="009A1299"/>
    <w:rsid w:val="009A292D"/>
    <w:rsid w:val="009A3541"/>
    <w:rsid w:val="009A3770"/>
    <w:rsid w:val="009A3DCF"/>
    <w:rsid w:val="009A4087"/>
    <w:rsid w:val="009A51EB"/>
    <w:rsid w:val="009A5690"/>
    <w:rsid w:val="009A5EE4"/>
    <w:rsid w:val="009A76F0"/>
    <w:rsid w:val="009A7A70"/>
    <w:rsid w:val="009A7E80"/>
    <w:rsid w:val="009A7FEB"/>
    <w:rsid w:val="009B0B62"/>
    <w:rsid w:val="009B1F03"/>
    <w:rsid w:val="009B3EDB"/>
    <w:rsid w:val="009B3F94"/>
    <w:rsid w:val="009B4606"/>
    <w:rsid w:val="009B667E"/>
    <w:rsid w:val="009B729B"/>
    <w:rsid w:val="009B72E1"/>
    <w:rsid w:val="009B75D5"/>
    <w:rsid w:val="009C0D25"/>
    <w:rsid w:val="009C330F"/>
    <w:rsid w:val="009C43C0"/>
    <w:rsid w:val="009C5302"/>
    <w:rsid w:val="009C6220"/>
    <w:rsid w:val="009C733D"/>
    <w:rsid w:val="009D1937"/>
    <w:rsid w:val="009D3BA3"/>
    <w:rsid w:val="009D5DC8"/>
    <w:rsid w:val="009D697F"/>
    <w:rsid w:val="009D6C5A"/>
    <w:rsid w:val="009E05C1"/>
    <w:rsid w:val="009E0A5C"/>
    <w:rsid w:val="009E0B5A"/>
    <w:rsid w:val="009E3756"/>
    <w:rsid w:val="009E39FC"/>
    <w:rsid w:val="009E5641"/>
    <w:rsid w:val="009E5B58"/>
    <w:rsid w:val="009E66A3"/>
    <w:rsid w:val="009E6D5C"/>
    <w:rsid w:val="009E7682"/>
    <w:rsid w:val="009F283D"/>
    <w:rsid w:val="009F2862"/>
    <w:rsid w:val="009F34E4"/>
    <w:rsid w:val="009F3BA2"/>
    <w:rsid w:val="009F403C"/>
    <w:rsid w:val="009F4C33"/>
    <w:rsid w:val="009F5619"/>
    <w:rsid w:val="009F5AD9"/>
    <w:rsid w:val="009F5B25"/>
    <w:rsid w:val="009F6407"/>
    <w:rsid w:val="009F698A"/>
    <w:rsid w:val="009F71F0"/>
    <w:rsid w:val="009F7A27"/>
    <w:rsid w:val="00A00DE6"/>
    <w:rsid w:val="00A01452"/>
    <w:rsid w:val="00A01900"/>
    <w:rsid w:val="00A02117"/>
    <w:rsid w:val="00A02328"/>
    <w:rsid w:val="00A02D75"/>
    <w:rsid w:val="00A0353C"/>
    <w:rsid w:val="00A05994"/>
    <w:rsid w:val="00A062A4"/>
    <w:rsid w:val="00A06B1E"/>
    <w:rsid w:val="00A06C43"/>
    <w:rsid w:val="00A06F11"/>
    <w:rsid w:val="00A07007"/>
    <w:rsid w:val="00A12290"/>
    <w:rsid w:val="00A141B7"/>
    <w:rsid w:val="00A16221"/>
    <w:rsid w:val="00A163DF"/>
    <w:rsid w:val="00A16743"/>
    <w:rsid w:val="00A16753"/>
    <w:rsid w:val="00A16930"/>
    <w:rsid w:val="00A16D70"/>
    <w:rsid w:val="00A1704D"/>
    <w:rsid w:val="00A219F6"/>
    <w:rsid w:val="00A21F82"/>
    <w:rsid w:val="00A22B29"/>
    <w:rsid w:val="00A23466"/>
    <w:rsid w:val="00A24C38"/>
    <w:rsid w:val="00A25334"/>
    <w:rsid w:val="00A262A5"/>
    <w:rsid w:val="00A2677E"/>
    <w:rsid w:val="00A26858"/>
    <w:rsid w:val="00A26C08"/>
    <w:rsid w:val="00A27E4C"/>
    <w:rsid w:val="00A3030A"/>
    <w:rsid w:val="00A30DD9"/>
    <w:rsid w:val="00A3429E"/>
    <w:rsid w:val="00A34B17"/>
    <w:rsid w:val="00A36C58"/>
    <w:rsid w:val="00A3734A"/>
    <w:rsid w:val="00A404F2"/>
    <w:rsid w:val="00A41555"/>
    <w:rsid w:val="00A4207D"/>
    <w:rsid w:val="00A4242D"/>
    <w:rsid w:val="00A42A58"/>
    <w:rsid w:val="00A42E94"/>
    <w:rsid w:val="00A4420F"/>
    <w:rsid w:val="00A44682"/>
    <w:rsid w:val="00A45B7A"/>
    <w:rsid w:val="00A45DF5"/>
    <w:rsid w:val="00A4789D"/>
    <w:rsid w:val="00A50928"/>
    <w:rsid w:val="00A50F78"/>
    <w:rsid w:val="00A515ED"/>
    <w:rsid w:val="00A51615"/>
    <w:rsid w:val="00A519BC"/>
    <w:rsid w:val="00A51B11"/>
    <w:rsid w:val="00A52189"/>
    <w:rsid w:val="00A5456E"/>
    <w:rsid w:val="00A54766"/>
    <w:rsid w:val="00A54D3D"/>
    <w:rsid w:val="00A54FF4"/>
    <w:rsid w:val="00A559C6"/>
    <w:rsid w:val="00A57E0B"/>
    <w:rsid w:val="00A605F3"/>
    <w:rsid w:val="00A61BBC"/>
    <w:rsid w:val="00A6358C"/>
    <w:rsid w:val="00A63A38"/>
    <w:rsid w:val="00A678E0"/>
    <w:rsid w:val="00A7202A"/>
    <w:rsid w:val="00A7247D"/>
    <w:rsid w:val="00A74158"/>
    <w:rsid w:val="00A74430"/>
    <w:rsid w:val="00A74584"/>
    <w:rsid w:val="00A749D8"/>
    <w:rsid w:val="00A74BF7"/>
    <w:rsid w:val="00A75ABE"/>
    <w:rsid w:val="00A7607D"/>
    <w:rsid w:val="00A76704"/>
    <w:rsid w:val="00A767BA"/>
    <w:rsid w:val="00A77C61"/>
    <w:rsid w:val="00A80878"/>
    <w:rsid w:val="00A81F17"/>
    <w:rsid w:val="00A82332"/>
    <w:rsid w:val="00A82EFE"/>
    <w:rsid w:val="00A85F8B"/>
    <w:rsid w:val="00A860C3"/>
    <w:rsid w:val="00A86583"/>
    <w:rsid w:val="00A86D79"/>
    <w:rsid w:val="00A86F44"/>
    <w:rsid w:val="00A90E27"/>
    <w:rsid w:val="00A91E12"/>
    <w:rsid w:val="00A94379"/>
    <w:rsid w:val="00A95784"/>
    <w:rsid w:val="00A971B6"/>
    <w:rsid w:val="00A97842"/>
    <w:rsid w:val="00AA20E5"/>
    <w:rsid w:val="00AA32A6"/>
    <w:rsid w:val="00AA32C3"/>
    <w:rsid w:val="00AA4B51"/>
    <w:rsid w:val="00AA718B"/>
    <w:rsid w:val="00AA762A"/>
    <w:rsid w:val="00AB0841"/>
    <w:rsid w:val="00AB1056"/>
    <w:rsid w:val="00AB2741"/>
    <w:rsid w:val="00AB2BD2"/>
    <w:rsid w:val="00AB41F4"/>
    <w:rsid w:val="00AB71A5"/>
    <w:rsid w:val="00AB7713"/>
    <w:rsid w:val="00AB79E5"/>
    <w:rsid w:val="00AB7B1A"/>
    <w:rsid w:val="00AB7F8E"/>
    <w:rsid w:val="00AC09AA"/>
    <w:rsid w:val="00AC1897"/>
    <w:rsid w:val="00AC18BD"/>
    <w:rsid w:val="00AC1A00"/>
    <w:rsid w:val="00AC28D3"/>
    <w:rsid w:val="00AC2E79"/>
    <w:rsid w:val="00AC4599"/>
    <w:rsid w:val="00AC46E4"/>
    <w:rsid w:val="00AC4CCB"/>
    <w:rsid w:val="00AC529E"/>
    <w:rsid w:val="00AC5388"/>
    <w:rsid w:val="00AC5487"/>
    <w:rsid w:val="00AC5C45"/>
    <w:rsid w:val="00AC635D"/>
    <w:rsid w:val="00AC6B34"/>
    <w:rsid w:val="00AD10DF"/>
    <w:rsid w:val="00AD1663"/>
    <w:rsid w:val="00AD33BC"/>
    <w:rsid w:val="00AD3D5A"/>
    <w:rsid w:val="00AD5602"/>
    <w:rsid w:val="00AD6A9D"/>
    <w:rsid w:val="00AD6DD2"/>
    <w:rsid w:val="00AE01AF"/>
    <w:rsid w:val="00AE0A1D"/>
    <w:rsid w:val="00AE0D38"/>
    <w:rsid w:val="00AE0D8B"/>
    <w:rsid w:val="00AE112F"/>
    <w:rsid w:val="00AE1F63"/>
    <w:rsid w:val="00AE2D13"/>
    <w:rsid w:val="00AE3745"/>
    <w:rsid w:val="00AE3EF2"/>
    <w:rsid w:val="00AE4E01"/>
    <w:rsid w:val="00AE5E6D"/>
    <w:rsid w:val="00AE7B3A"/>
    <w:rsid w:val="00AF0EFA"/>
    <w:rsid w:val="00AF13F2"/>
    <w:rsid w:val="00AF142D"/>
    <w:rsid w:val="00AF192B"/>
    <w:rsid w:val="00AF2507"/>
    <w:rsid w:val="00AF2C0D"/>
    <w:rsid w:val="00AF41C3"/>
    <w:rsid w:val="00AF42D3"/>
    <w:rsid w:val="00AF5C61"/>
    <w:rsid w:val="00AF601E"/>
    <w:rsid w:val="00AF630B"/>
    <w:rsid w:val="00B00C18"/>
    <w:rsid w:val="00B03C2C"/>
    <w:rsid w:val="00B041CE"/>
    <w:rsid w:val="00B045AB"/>
    <w:rsid w:val="00B05049"/>
    <w:rsid w:val="00B06955"/>
    <w:rsid w:val="00B07E6B"/>
    <w:rsid w:val="00B10498"/>
    <w:rsid w:val="00B10E65"/>
    <w:rsid w:val="00B1140B"/>
    <w:rsid w:val="00B1140F"/>
    <w:rsid w:val="00B1221D"/>
    <w:rsid w:val="00B14325"/>
    <w:rsid w:val="00B153F5"/>
    <w:rsid w:val="00B159AF"/>
    <w:rsid w:val="00B15EB4"/>
    <w:rsid w:val="00B16103"/>
    <w:rsid w:val="00B16995"/>
    <w:rsid w:val="00B16B6E"/>
    <w:rsid w:val="00B170DA"/>
    <w:rsid w:val="00B20437"/>
    <w:rsid w:val="00B21009"/>
    <w:rsid w:val="00B21652"/>
    <w:rsid w:val="00B21DAE"/>
    <w:rsid w:val="00B24A49"/>
    <w:rsid w:val="00B25427"/>
    <w:rsid w:val="00B2656C"/>
    <w:rsid w:val="00B27B80"/>
    <w:rsid w:val="00B3016B"/>
    <w:rsid w:val="00B30F98"/>
    <w:rsid w:val="00B31496"/>
    <w:rsid w:val="00B31CC7"/>
    <w:rsid w:val="00B329E5"/>
    <w:rsid w:val="00B34278"/>
    <w:rsid w:val="00B34FA4"/>
    <w:rsid w:val="00B35317"/>
    <w:rsid w:val="00B35879"/>
    <w:rsid w:val="00B358ED"/>
    <w:rsid w:val="00B35D39"/>
    <w:rsid w:val="00B369DC"/>
    <w:rsid w:val="00B4164C"/>
    <w:rsid w:val="00B4172F"/>
    <w:rsid w:val="00B42031"/>
    <w:rsid w:val="00B42B41"/>
    <w:rsid w:val="00B44A33"/>
    <w:rsid w:val="00B44A75"/>
    <w:rsid w:val="00B45755"/>
    <w:rsid w:val="00B45B52"/>
    <w:rsid w:val="00B46589"/>
    <w:rsid w:val="00B468D4"/>
    <w:rsid w:val="00B472A1"/>
    <w:rsid w:val="00B523DB"/>
    <w:rsid w:val="00B52FF2"/>
    <w:rsid w:val="00B5371F"/>
    <w:rsid w:val="00B53D1A"/>
    <w:rsid w:val="00B574F0"/>
    <w:rsid w:val="00B61190"/>
    <w:rsid w:val="00B612CA"/>
    <w:rsid w:val="00B62C46"/>
    <w:rsid w:val="00B63DA1"/>
    <w:rsid w:val="00B64576"/>
    <w:rsid w:val="00B65670"/>
    <w:rsid w:val="00B66C04"/>
    <w:rsid w:val="00B672C0"/>
    <w:rsid w:val="00B70776"/>
    <w:rsid w:val="00B70DDC"/>
    <w:rsid w:val="00B70E38"/>
    <w:rsid w:val="00B71682"/>
    <w:rsid w:val="00B716AD"/>
    <w:rsid w:val="00B71B1C"/>
    <w:rsid w:val="00B723F6"/>
    <w:rsid w:val="00B7299A"/>
    <w:rsid w:val="00B729A8"/>
    <w:rsid w:val="00B73DFC"/>
    <w:rsid w:val="00B740F4"/>
    <w:rsid w:val="00B7514E"/>
    <w:rsid w:val="00B7571B"/>
    <w:rsid w:val="00B7595B"/>
    <w:rsid w:val="00B822F1"/>
    <w:rsid w:val="00B83203"/>
    <w:rsid w:val="00B83348"/>
    <w:rsid w:val="00B834BF"/>
    <w:rsid w:val="00B8410F"/>
    <w:rsid w:val="00B84975"/>
    <w:rsid w:val="00B85473"/>
    <w:rsid w:val="00B867A9"/>
    <w:rsid w:val="00B875E3"/>
    <w:rsid w:val="00B8767D"/>
    <w:rsid w:val="00B9002C"/>
    <w:rsid w:val="00B909E7"/>
    <w:rsid w:val="00B92831"/>
    <w:rsid w:val="00B92B6C"/>
    <w:rsid w:val="00B953CE"/>
    <w:rsid w:val="00B956DE"/>
    <w:rsid w:val="00B9595E"/>
    <w:rsid w:val="00B9660E"/>
    <w:rsid w:val="00B9729F"/>
    <w:rsid w:val="00B97664"/>
    <w:rsid w:val="00BA077A"/>
    <w:rsid w:val="00BA1367"/>
    <w:rsid w:val="00BA1E9B"/>
    <w:rsid w:val="00BA263E"/>
    <w:rsid w:val="00BA3B54"/>
    <w:rsid w:val="00BA43B7"/>
    <w:rsid w:val="00BA5483"/>
    <w:rsid w:val="00BA5CA8"/>
    <w:rsid w:val="00BA6FCB"/>
    <w:rsid w:val="00BB0187"/>
    <w:rsid w:val="00BB03D3"/>
    <w:rsid w:val="00BB1815"/>
    <w:rsid w:val="00BB29BC"/>
    <w:rsid w:val="00BB2F6D"/>
    <w:rsid w:val="00BB32C7"/>
    <w:rsid w:val="00BB4F3B"/>
    <w:rsid w:val="00BB50A2"/>
    <w:rsid w:val="00BB745A"/>
    <w:rsid w:val="00BC1486"/>
    <w:rsid w:val="00BC1770"/>
    <w:rsid w:val="00BC17CA"/>
    <w:rsid w:val="00BC1E93"/>
    <w:rsid w:val="00BC2494"/>
    <w:rsid w:val="00BC3B0C"/>
    <w:rsid w:val="00BC6B21"/>
    <w:rsid w:val="00BC6C25"/>
    <w:rsid w:val="00BC7FB4"/>
    <w:rsid w:val="00BD20CD"/>
    <w:rsid w:val="00BD2857"/>
    <w:rsid w:val="00BD2C2D"/>
    <w:rsid w:val="00BD392F"/>
    <w:rsid w:val="00BD43E2"/>
    <w:rsid w:val="00BD4AE1"/>
    <w:rsid w:val="00BD524C"/>
    <w:rsid w:val="00BD59E2"/>
    <w:rsid w:val="00BD5EBF"/>
    <w:rsid w:val="00BE029D"/>
    <w:rsid w:val="00BE03C6"/>
    <w:rsid w:val="00BE0E73"/>
    <w:rsid w:val="00BE1676"/>
    <w:rsid w:val="00BE1966"/>
    <w:rsid w:val="00BE3618"/>
    <w:rsid w:val="00BE4BE8"/>
    <w:rsid w:val="00BE5441"/>
    <w:rsid w:val="00BE64BD"/>
    <w:rsid w:val="00BE65EC"/>
    <w:rsid w:val="00BE7B8C"/>
    <w:rsid w:val="00BF1008"/>
    <w:rsid w:val="00BF20F2"/>
    <w:rsid w:val="00BF2A86"/>
    <w:rsid w:val="00BF302D"/>
    <w:rsid w:val="00BF3514"/>
    <w:rsid w:val="00BF3911"/>
    <w:rsid w:val="00BF3963"/>
    <w:rsid w:val="00BF43E2"/>
    <w:rsid w:val="00BF4702"/>
    <w:rsid w:val="00BF558A"/>
    <w:rsid w:val="00BF6955"/>
    <w:rsid w:val="00BF710B"/>
    <w:rsid w:val="00C00895"/>
    <w:rsid w:val="00C0142C"/>
    <w:rsid w:val="00C01940"/>
    <w:rsid w:val="00C01F06"/>
    <w:rsid w:val="00C032D6"/>
    <w:rsid w:val="00C056DE"/>
    <w:rsid w:val="00C10A65"/>
    <w:rsid w:val="00C10B4F"/>
    <w:rsid w:val="00C11762"/>
    <w:rsid w:val="00C11D53"/>
    <w:rsid w:val="00C11F67"/>
    <w:rsid w:val="00C13419"/>
    <w:rsid w:val="00C14990"/>
    <w:rsid w:val="00C15257"/>
    <w:rsid w:val="00C174D0"/>
    <w:rsid w:val="00C17F55"/>
    <w:rsid w:val="00C2009E"/>
    <w:rsid w:val="00C2016F"/>
    <w:rsid w:val="00C21174"/>
    <w:rsid w:val="00C21338"/>
    <w:rsid w:val="00C21631"/>
    <w:rsid w:val="00C21A4A"/>
    <w:rsid w:val="00C2203F"/>
    <w:rsid w:val="00C23954"/>
    <w:rsid w:val="00C2493A"/>
    <w:rsid w:val="00C24C2D"/>
    <w:rsid w:val="00C26431"/>
    <w:rsid w:val="00C27903"/>
    <w:rsid w:val="00C31277"/>
    <w:rsid w:val="00C312CA"/>
    <w:rsid w:val="00C31EFC"/>
    <w:rsid w:val="00C3277F"/>
    <w:rsid w:val="00C336A4"/>
    <w:rsid w:val="00C402FB"/>
    <w:rsid w:val="00C40888"/>
    <w:rsid w:val="00C4338E"/>
    <w:rsid w:val="00C44D95"/>
    <w:rsid w:val="00C454D6"/>
    <w:rsid w:val="00C464DC"/>
    <w:rsid w:val="00C46ECC"/>
    <w:rsid w:val="00C519BD"/>
    <w:rsid w:val="00C52888"/>
    <w:rsid w:val="00C53202"/>
    <w:rsid w:val="00C546EF"/>
    <w:rsid w:val="00C54E7A"/>
    <w:rsid w:val="00C55476"/>
    <w:rsid w:val="00C556C6"/>
    <w:rsid w:val="00C5717C"/>
    <w:rsid w:val="00C57B44"/>
    <w:rsid w:val="00C57C1D"/>
    <w:rsid w:val="00C603C4"/>
    <w:rsid w:val="00C60DFE"/>
    <w:rsid w:val="00C619BB"/>
    <w:rsid w:val="00C61F62"/>
    <w:rsid w:val="00C621E3"/>
    <w:rsid w:val="00C624AA"/>
    <w:rsid w:val="00C62AC1"/>
    <w:rsid w:val="00C63C65"/>
    <w:rsid w:val="00C6515C"/>
    <w:rsid w:val="00C70B0F"/>
    <w:rsid w:val="00C71091"/>
    <w:rsid w:val="00C72BBE"/>
    <w:rsid w:val="00C72EB3"/>
    <w:rsid w:val="00C758E2"/>
    <w:rsid w:val="00C77424"/>
    <w:rsid w:val="00C810A1"/>
    <w:rsid w:val="00C8137A"/>
    <w:rsid w:val="00C82613"/>
    <w:rsid w:val="00C8290A"/>
    <w:rsid w:val="00C845DA"/>
    <w:rsid w:val="00C85127"/>
    <w:rsid w:val="00C8542F"/>
    <w:rsid w:val="00C85A61"/>
    <w:rsid w:val="00C86417"/>
    <w:rsid w:val="00C8655C"/>
    <w:rsid w:val="00C86DE9"/>
    <w:rsid w:val="00C871CA"/>
    <w:rsid w:val="00C914F6"/>
    <w:rsid w:val="00C92214"/>
    <w:rsid w:val="00C93514"/>
    <w:rsid w:val="00C9351C"/>
    <w:rsid w:val="00C93AD8"/>
    <w:rsid w:val="00C93F0D"/>
    <w:rsid w:val="00C958AC"/>
    <w:rsid w:val="00C95DFF"/>
    <w:rsid w:val="00C961E9"/>
    <w:rsid w:val="00C9639D"/>
    <w:rsid w:val="00C969C2"/>
    <w:rsid w:val="00C96B94"/>
    <w:rsid w:val="00CA104A"/>
    <w:rsid w:val="00CA179D"/>
    <w:rsid w:val="00CA3D9B"/>
    <w:rsid w:val="00CA4F9A"/>
    <w:rsid w:val="00CA5C3F"/>
    <w:rsid w:val="00CA604C"/>
    <w:rsid w:val="00CA6263"/>
    <w:rsid w:val="00CB07AD"/>
    <w:rsid w:val="00CB142F"/>
    <w:rsid w:val="00CB1763"/>
    <w:rsid w:val="00CB23F6"/>
    <w:rsid w:val="00CB506B"/>
    <w:rsid w:val="00CB52F2"/>
    <w:rsid w:val="00CB5B38"/>
    <w:rsid w:val="00CB5F7D"/>
    <w:rsid w:val="00CB602F"/>
    <w:rsid w:val="00CB609F"/>
    <w:rsid w:val="00CB6B3F"/>
    <w:rsid w:val="00CB6F46"/>
    <w:rsid w:val="00CB79E3"/>
    <w:rsid w:val="00CB7BC1"/>
    <w:rsid w:val="00CC01CF"/>
    <w:rsid w:val="00CC0C96"/>
    <w:rsid w:val="00CC0E56"/>
    <w:rsid w:val="00CC1712"/>
    <w:rsid w:val="00CC240B"/>
    <w:rsid w:val="00CC2E65"/>
    <w:rsid w:val="00CC4167"/>
    <w:rsid w:val="00CC5309"/>
    <w:rsid w:val="00CC56BF"/>
    <w:rsid w:val="00CC57EB"/>
    <w:rsid w:val="00CC591F"/>
    <w:rsid w:val="00CC5E9F"/>
    <w:rsid w:val="00CC6871"/>
    <w:rsid w:val="00CC699C"/>
    <w:rsid w:val="00CC723F"/>
    <w:rsid w:val="00CC7977"/>
    <w:rsid w:val="00CC7A2D"/>
    <w:rsid w:val="00CC7EDF"/>
    <w:rsid w:val="00CD1590"/>
    <w:rsid w:val="00CD15F9"/>
    <w:rsid w:val="00CD1AB7"/>
    <w:rsid w:val="00CD3BBA"/>
    <w:rsid w:val="00CD3FBE"/>
    <w:rsid w:val="00CD52EA"/>
    <w:rsid w:val="00CD5EDC"/>
    <w:rsid w:val="00CD61F6"/>
    <w:rsid w:val="00CD6D4C"/>
    <w:rsid w:val="00CD76B7"/>
    <w:rsid w:val="00CD7A1C"/>
    <w:rsid w:val="00CE09B7"/>
    <w:rsid w:val="00CE0A15"/>
    <w:rsid w:val="00CE2A31"/>
    <w:rsid w:val="00CE40BA"/>
    <w:rsid w:val="00CE4A61"/>
    <w:rsid w:val="00CE512F"/>
    <w:rsid w:val="00CE6FAF"/>
    <w:rsid w:val="00CF08CC"/>
    <w:rsid w:val="00CF2A2E"/>
    <w:rsid w:val="00CF2A98"/>
    <w:rsid w:val="00CF2E1A"/>
    <w:rsid w:val="00CF42FC"/>
    <w:rsid w:val="00CF5B14"/>
    <w:rsid w:val="00D0098C"/>
    <w:rsid w:val="00D00B9F"/>
    <w:rsid w:val="00D01009"/>
    <w:rsid w:val="00D0145A"/>
    <w:rsid w:val="00D014BF"/>
    <w:rsid w:val="00D0244C"/>
    <w:rsid w:val="00D059BA"/>
    <w:rsid w:val="00D05AE0"/>
    <w:rsid w:val="00D06151"/>
    <w:rsid w:val="00D066BB"/>
    <w:rsid w:val="00D07720"/>
    <w:rsid w:val="00D10960"/>
    <w:rsid w:val="00D10AE6"/>
    <w:rsid w:val="00D122A4"/>
    <w:rsid w:val="00D12720"/>
    <w:rsid w:val="00D12B57"/>
    <w:rsid w:val="00D1428B"/>
    <w:rsid w:val="00D142A8"/>
    <w:rsid w:val="00D1661F"/>
    <w:rsid w:val="00D20D06"/>
    <w:rsid w:val="00D21D08"/>
    <w:rsid w:val="00D23061"/>
    <w:rsid w:val="00D23AE1"/>
    <w:rsid w:val="00D24229"/>
    <w:rsid w:val="00D3038D"/>
    <w:rsid w:val="00D31BDA"/>
    <w:rsid w:val="00D32092"/>
    <w:rsid w:val="00D33165"/>
    <w:rsid w:val="00D3390E"/>
    <w:rsid w:val="00D33F41"/>
    <w:rsid w:val="00D3649F"/>
    <w:rsid w:val="00D369EA"/>
    <w:rsid w:val="00D4175A"/>
    <w:rsid w:val="00D44224"/>
    <w:rsid w:val="00D50058"/>
    <w:rsid w:val="00D51B1D"/>
    <w:rsid w:val="00D52BC4"/>
    <w:rsid w:val="00D53ADF"/>
    <w:rsid w:val="00D53EE3"/>
    <w:rsid w:val="00D61E04"/>
    <w:rsid w:val="00D62E98"/>
    <w:rsid w:val="00D640F5"/>
    <w:rsid w:val="00D6689C"/>
    <w:rsid w:val="00D679B3"/>
    <w:rsid w:val="00D72030"/>
    <w:rsid w:val="00D73216"/>
    <w:rsid w:val="00D73BC7"/>
    <w:rsid w:val="00D742B5"/>
    <w:rsid w:val="00D7455F"/>
    <w:rsid w:val="00D75345"/>
    <w:rsid w:val="00D75F0D"/>
    <w:rsid w:val="00D75F84"/>
    <w:rsid w:val="00D76EDF"/>
    <w:rsid w:val="00D7705B"/>
    <w:rsid w:val="00D80493"/>
    <w:rsid w:val="00D80FE4"/>
    <w:rsid w:val="00D81606"/>
    <w:rsid w:val="00D82F9F"/>
    <w:rsid w:val="00D83C0B"/>
    <w:rsid w:val="00D84EC6"/>
    <w:rsid w:val="00D856F2"/>
    <w:rsid w:val="00D85BB2"/>
    <w:rsid w:val="00D86206"/>
    <w:rsid w:val="00D86D53"/>
    <w:rsid w:val="00D86F1A"/>
    <w:rsid w:val="00D9001E"/>
    <w:rsid w:val="00D904B3"/>
    <w:rsid w:val="00D90661"/>
    <w:rsid w:val="00D906F4"/>
    <w:rsid w:val="00D90A8E"/>
    <w:rsid w:val="00D90ABE"/>
    <w:rsid w:val="00D91880"/>
    <w:rsid w:val="00D93F7B"/>
    <w:rsid w:val="00D96DD3"/>
    <w:rsid w:val="00D97805"/>
    <w:rsid w:val="00D97EFE"/>
    <w:rsid w:val="00DA1002"/>
    <w:rsid w:val="00DA20A8"/>
    <w:rsid w:val="00DA2FA1"/>
    <w:rsid w:val="00DA4965"/>
    <w:rsid w:val="00DA5793"/>
    <w:rsid w:val="00DA6177"/>
    <w:rsid w:val="00DB0E78"/>
    <w:rsid w:val="00DB12C5"/>
    <w:rsid w:val="00DB189A"/>
    <w:rsid w:val="00DB37C9"/>
    <w:rsid w:val="00DB6813"/>
    <w:rsid w:val="00DB6D08"/>
    <w:rsid w:val="00DB7387"/>
    <w:rsid w:val="00DB774B"/>
    <w:rsid w:val="00DB77B5"/>
    <w:rsid w:val="00DB78E1"/>
    <w:rsid w:val="00DB7C5C"/>
    <w:rsid w:val="00DB7C5F"/>
    <w:rsid w:val="00DC1B44"/>
    <w:rsid w:val="00DC3DA3"/>
    <w:rsid w:val="00DC4705"/>
    <w:rsid w:val="00DC4E85"/>
    <w:rsid w:val="00DC57D0"/>
    <w:rsid w:val="00DD0695"/>
    <w:rsid w:val="00DD0E76"/>
    <w:rsid w:val="00DD1B5D"/>
    <w:rsid w:val="00DD1BB6"/>
    <w:rsid w:val="00DD2AE0"/>
    <w:rsid w:val="00DD36A1"/>
    <w:rsid w:val="00DD3CC4"/>
    <w:rsid w:val="00DD501D"/>
    <w:rsid w:val="00DD7320"/>
    <w:rsid w:val="00DD74BB"/>
    <w:rsid w:val="00DD788F"/>
    <w:rsid w:val="00DD7DAC"/>
    <w:rsid w:val="00DE2EF7"/>
    <w:rsid w:val="00DE2F22"/>
    <w:rsid w:val="00DE37D6"/>
    <w:rsid w:val="00DE3AAC"/>
    <w:rsid w:val="00DE3B47"/>
    <w:rsid w:val="00DE3FCE"/>
    <w:rsid w:val="00DE4C32"/>
    <w:rsid w:val="00DE5045"/>
    <w:rsid w:val="00DE61A8"/>
    <w:rsid w:val="00DE70C7"/>
    <w:rsid w:val="00DF08B1"/>
    <w:rsid w:val="00DF1A01"/>
    <w:rsid w:val="00DF1E72"/>
    <w:rsid w:val="00DF46FB"/>
    <w:rsid w:val="00DF47B2"/>
    <w:rsid w:val="00DF4A03"/>
    <w:rsid w:val="00DF4C09"/>
    <w:rsid w:val="00DF4EDE"/>
    <w:rsid w:val="00DF57DF"/>
    <w:rsid w:val="00DF7415"/>
    <w:rsid w:val="00DF76F0"/>
    <w:rsid w:val="00DF7A80"/>
    <w:rsid w:val="00E00297"/>
    <w:rsid w:val="00E01DB1"/>
    <w:rsid w:val="00E0395E"/>
    <w:rsid w:val="00E03DC9"/>
    <w:rsid w:val="00E041E2"/>
    <w:rsid w:val="00E044EA"/>
    <w:rsid w:val="00E046C9"/>
    <w:rsid w:val="00E0663B"/>
    <w:rsid w:val="00E0688F"/>
    <w:rsid w:val="00E074CA"/>
    <w:rsid w:val="00E07756"/>
    <w:rsid w:val="00E10540"/>
    <w:rsid w:val="00E11381"/>
    <w:rsid w:val="00E1198A"/>
    <w:rsid w:val="00E11D55"/>
    <w:rsid w:val="00E12CDA"/>
    <w:rsid w:val="00E138CB"/>
    <w:rsid w:val="00E14A2A"/>
    <w:rsid w:val="00E14F95"/>
    <w:rsid w:val="00E15EE7"/>
    <w:rsid w:val="00E16DFE"/>
    <w:rsid w:val="00E17113"/>
    <w:rsid w:val="00E177F7"/>
    <w:rsid w:val="00E224DF"/>
    <w:rsid w:val="00E2269B"/>
    <w:rsid w:val="00E2284E"/>
    <w:rsid w:val="00E230C9"/>
    <w:rsid w:val="00E23D0D"/>
    <w:rsid w:val="00E24898"/>
    <w:rsid w:val="00E25F81"/>
    <w:rsid w:val="00E2615A"/>
    <w:rsid w:val="00E265E0"/>
    <w:rsid w:val="00E270B2"/>
    <w:rsid w:val="00E2744A"/>
    <w:rsid w:val="00E3005B"/>
    <w:rsid w:val="00E30BCE"/>
    <w:rsid w:val="00E30DC5"/>
    <w:rsid w:val="00E3261B"/>
    <w:rsid w:val="00E33EBA"/>
    <w:rsid w:val="00E3502B"/>
    <w:rsid w:val="00E376E0"/>
    <w:rsid w:val="00E37E5D"/>
    <w:rsid w:val="00E37FC9"/>
    <w:rsid w:val="00E41260"/>
    <w:rsid w:val="00E41823"/>
    <w:rsid w:val="00E42F5C"/>
    <w:rsid w:val="00E43718"/>
    <w:rsid w:val="00E43A73"/>
    <w:rsid w:val="00E46100"/>
    <w:rsid w:val="00E46CF0"/>
    <w:rsid w:val="00E476F3"/>
    <w:rsid w:val="00E501E7"/>
    <w:rsid w:val="00E50489"/>
    <w:rsid w:val="00E507A3"/>
    <w:rsid w:val="00E509B4"/>
    <w:rsid w:val="00E51AD8"/>
    <w:rsid w:val="00E52BCA"/>
    <w:rsid w:val="00E53325"/>
    <w:rsid w:val="00E53782"/>
    <w:rsid w:val="00E53823"/>
    <w:rsid w:val="00E55A87"/>
    <w:rsid w:val="00E573BB"/>
    <w:rsid w:val="00E606A4"/>
    <w:rsid w:val="00E60ED9"/>
    <w:rsid w:val="00E61034"/>
    <w:rsid w:val="00E61311"/>
    <w:rsid w:val="00E61336"/>
    <w:rsid w:val="00E62A75"/>
    <w:rsid w:val="00E62D6F"/>
    <w:rsid w:val="00E63502"/>
    <w:rsid w:val="00E64E76"/>
    <w:rsid w:val="00E703FD"/>
    <w:rsid w:val="00E70E40"/>
    <w:rsid w:val="00E70F8B"/>
    <w:rsid w:val="00E73368"/>
    <w:rsid w:val="00E73591"/>
    <w:rsid w:val="00E735C6"/>
    <w:rsid w:val="00E73C60"/>
    <w:rsid w:val="00E7460A"/>
    <w:rsid w:val="00E756F3"/>
    <w:rsid w:val="00E75E7F"/>
    <w:rsid w:val="00E76A2D"/>
    <w:rsid w:val="00E7732C"/>
    <w:rsid w:val="00E77899"/>
    <w:rsid w:val="00E77C22"/>
    <w:rsid w:val="00E77C73"/>
    <w:rsid w:val="00E82005"/>
    <w:rsid w:val="00E82872"/>
    <w:rsid w:val="00E836AA"/>
    <w:rsid w:val="00E83FA4"/>
    <w:rsid w:val="00E84157"/>
    <w:rsid w:val="00E85BE2"/>
    <w:rsid w:val="00E86054"/>
    <w:rsid w:val="00E86B43"/>
    <w:rsid w:val="00E86E85"/>
    <w:rsid w:val="00E87B80"/>
    <w:rsid w:val="00E90E0C"/>
    <w:rsid w:val="00E92C65"/>
    <w:rsid w:val="00E92E41"/>
    <w:rsid w:val="00E9386F"/>
    <w:rsid w:val="00E97708"/>
    <w:rsid w:val="00E97CF3"/>
    <w:rsid w:val="00EA08BE"/>
    <w:rsid w:val="00EA0B42"/>
    <w:rsid w:val="00EA114B"/>
    <w:rsid w:val="00EA1C5D"/>
    <w:rsid w:val="00EA1E1B"/>
    <w:rsid w:val="00EA36F8"/>
    <w:rsid w:val="00EA4347"/>
    <w:rsid w:val="00EA4390"/>
    <w:rsid w:val="00EA5B73"/>
    <w:rsid w:val="00EA5E56"/>
    <w:rsid w:val="00EA68B6"/>
    <w:rsid w:val="00EA68DE"/>
    <w:rsid w:val="00EA6A68"/>
    <w:rsid w:val="00EA6AD8"/>
    <w:rsid w:val="00EB0E74"/>
    <w:rsid w:val="00EB15A5"/>
    <w:rsid w:val="00EB33A3"/>
    <w:rsid w:val="00EB34BF"/>
    <w:rsid w:val="00EB5B12"/>
    <w:rsid w:val="00EB65F7"/>
    <w:rsid w:val="00EB6969"/>
    <w:rsid w:val="00EB6A1C"/>
    <w:rsid w:val="00EB6D30"/>
    <w:rsid w:val="00EB7129"/>
    <w:rsid w:val="00EB7584"/>
    <w:rsid w:val="00EB76A0"/>
    <w:rsid w:val="00EC117E"/>
    <w:rsid w:val="00EC11A8"/>
    <w:rsid w:val="00EC2393"/>
    <w:rsid w:val="00EC2B1B"/>
    <w:rsid w:val="00EC4203"/>
    <w:rsid w:val="00EC5D3F"/>
    <w:rsid w:val="00EC7FDE"/>
    <w:rsid w:val="00ED0627"/>
    <w:rsid w:val="00ED0CFA"/>
    <w:rsid w:val="00ED1960"/>
    <w:rsid w:val="00ED1FCA"/>
    <w:rsid w:val="00ED23C9"/>
    <w:rsid w:val="00ED2B1D"/>
    <w:rsid w:val="00ED3208"/>
    <w:rsid w:val="00ED3B01"/>
    <w:rsid w:val="00ED3F5A"/>
    <w:rsid w:val="00ED5239"/>
    <w:rsid w:val="00ED5751"/>
    <w:rsid w:val="00ED660A"/>
    <w:rsid w:val="00EE17F2"/>
    <w:rsid w:val="00EE2A28"/>
    <w:rsid w:val="00EE2CF1"/>
    <w:rsid w:val="00EE505E"/>
    <w:rsid w:val="00EE6352"/>
    <w:rsid w:val="00EE7B2E"/>
    <w:rsid w:val="00EF0902"/>
    <w:rsid w:val="00EF37DF"/>
    <w:rsid w:val="00EF3839"/>
    <w:rsid w:val="00EF41BC"/>
    <w:rsid w:val="00EF445D"/>
    <w:rsid w:val="00EF4A6A"/>
    <w:rsid w:val="00EF4E59"/>
    <w:rsid w:val="00EF5582"/>
    <w:rsid w:val="00EF5C57"/>
    <w:rsid w:val="00EF6300"/>
    <w:rsid w:val="00EF63ED"/>
    <w:rsid w:val="00EF6CE4"/>
    <w:rsid w:val="00F00365"/>
    <w:rsid w:val="00F01751"/>
    <w:rsid w:val="00F0187A"/>
    <w:rsid w:val="00F01924"/>
    <w:rsid w:val="00F03ABA"/>
    <w:rsid w:val="00F03FD8"/>
    <w:rsid w:val="00F047D0"/>
    <w:rsid w:val="00F04D94"/>
    <w:rsid w:val="00F04E4D"/>
    <w:rsid w:val="00F050E7"/>
    <w:rsid w:val="00F055CF"/>
    <w:rsid w:val="00F10FAE"/>
    <w:rsid w:val="00F112CD"/>
    <w:rsid w:val="00F1200A"/>
    <w:rsid w:val="00F12105"/>
    <w:rsid w:val="00F142D8"/>
    <w:rsid w:val="00F14329"/>
    <w:rsid w:val="00F1625B"/>
    <w:rsid w:val="00F17727"/>
    <w:rsid w:val="00F17EDB"/>
    <w:rsid w:val="00F203CA"/>
    <w:rsid w:val="00F206D0"/>
    <w:rsid w:val="00F210B0"/>
    <w:rsid w:val="00F22AB9"/>
    <w:rsid w:val="00F237C7"/>
    <w:rsid w:val="00F23B41"/>
    <w:rsid w:val="00F24324"/>
    <w:rsid w:val="00F25277"/>
    <w:rsid w:val="00F27AE0"/>
    <w:rsid w:val="00F27B8D"/>
    <w:rsid w:val="00F27FBE"/>
    <w:rsid w:val="00F30394"/>
    <w:rsid w:val="00F33DE8"/>
    <w:rsid w:val="00F3414C"/>
    <w:rsid w:val="00F347AE"/>
    <w:rsid w:val="00F35C55"/>
    <w:rsid w:val="00F40184"/>
    <w:rsid w:val="00F40863"/>
    <w:rsid w:val="00F40FB1"/>
    <w:rsid w:val="00F4178E"/>
    <w:rsid w:val="00F423ED"/>
    <w:rsid w:val="00F439A0"/>
    <w:rsid w:val="00F444F5"/>
    <w:rsid w:val="00F44847"/>
    <w:rsid w:val="00F45B4F"/>
    <w:rsid w:val="00F45C16"/>
    <w:rsid w:val="00F46C37"/>
    <w:rsid w:val="00F47A24"/>
    <w:rsid w:val="00F50F1E"/>
    <w:rsid w:val="00F50F8C"/>
    <w:rsid w:val="00F520A6"/>
    <w:rsid w:val="00F5223A"/>
    <w:rsid w:val="00F54D09"/>
    <w:rsid w:val="00F56EBA"/>
    <w:rsid w:val="00F57182"/>
    <w:rsid w:val="00F5768E"/>
    <w:rsid w:val="00F60948"/>
    <w:rsid w:val="00F61323"/>
    <w:rsid w:val="00F62CC8"/>
    <w:rsid w:val="00F62E76"/>
    <w:rsid w:val="00F636DD"/>
    <w:rsid w:val="00F63E65"/>
    <w:rsid w:val="00F641BC"/>
    <w:rsid w:val="00F644D1"/>
    <w:rsid w:val="00F64689"/>
    <w:rsid w:val="00F6704D"/>
    <w:rsid w:val="00F7041E"/>
    <w:rsid w:val="00F72262"/>
    <w:rsid w:val="00F72B55"/>
    <w:rsid w:val="00F72C42"/>
    <w:rsid w:val="00F75453"/>
    <w:rsid w:val="00F76473"/>
    <w:rsid w:val="00F76E62"/>
    <w:rsid w:val="00F775B4"/>
    <w:rsid w:val="00F81659"/>
    <w:rsid w:val="00F818C2"/>
    <w:rsid w:val="00F83682"/>
    <w:rsid w:val="00F848E8"/>
    <w:rsid w:val="00F84FAC"/>
    <w:rsid w:val="00F87766"/>
    <w:rsid w:val="00F92B9D"/>
    <w:rsid w:val="00F9306D"/>
    <w:rsid w:val="00F930ED"/>
    <w:rsid w:val="00F93B0B"/>
    <w:rsid w:val="00F94946"/>
    <w:rsid w:val="00F95144"/>
    <w:rsid w:val="00F9589E"/>
    <w:rsid w:val="00F95B22"/>
    <w:rsid w:val="00F95E15"/>
    <w:rsid w:val="00F974DD"/>
    <w:rsid w:val="00FA17B3"/>
    <w:rsid w:val="00FA35A9"/>
    <w:rsid w:val="00FA4C5A"/>
    <w:rsid w:val="00FA567E"/>
    <w:rsid w:val="00FA5C3D"/>
    <w:rsid w:val="00FA639C"/>
    <w:rsid w:val="00FB02E8"/>
    <w:rsid w:val="00FB030D"/>
    <w:rsid w:val="00FB0625"/>
    <w:rsid w:val="00FB1B75"/>
    <w:rsid w:val="00FB2F8D"/>
    <w:rsid w:val="00FB366F"/>
    <w:rsid w:val="00FB3E2E"/>
    <w:rsid w:val="00FB4ACF"/>
    <w:rsid w:val="00FB506D"/>
    <w:rsid w:val="00FB6749"/>
    <w:rsid w:val="00FB6B85"/>
    <w:rsid w:val="00FB76E2"/>
    <w:rsid w:val="00FC09D8"/>
    <w:rsid w:val="00FC16C1"/>
    <w:rsid w:val="00FC2C25"/>
    <w:rsid w:val="00FC310A"/>
    <w:rsid w:val="00FC35CE"/>
    <w:rsid w:val="00FC3EE3"/>
    <w:rsid w:val="00FC67F7"/>
    <w:rsid w:val="00FC6BFF"/>
    <w:rsid w:val="00FC7627"/>
    <w:rsid w:val="00FC7A7A"/>
    <w:rsid w:val="00FD30E0"/>
    <w:rsid w:val="00FD472C"/>
    <w:rsid w:val="00FD48A6"/>
    <w:rsid w:val="00FD5848"/>
    <w:rsid w:val="00FD5C88"/>
    <w:rsid w:val="00FD6FC9"/>
    <w:rsid w:val="00FD7EE5"/>
    <w:rsid w:val="00FE1F29"/>
    <w:rsid w:val="00FE2218"/>
    <w:rsid w:val="00FE248E"/>
    <w:rsid w:val="00FE30C4"/>
    <w:rsid w:val="00FE3CB6"/>
    <w:rsid w:val="00FE57F7"/>
    <w:rsid w:val="00FE62EF"/>
    <w:rsid w:val="00FF259C"/>
    <w:rsid w:val="00FF2B3F"/>
    <w:rsid w:val="00FF3C62"/>
    <w:rsid w:val="00FF4CFE"/>
    <w:rsid w:val="00FF4D08"/>
    <w:rsid w:val="00FF4F29"/>
    <w:rsid w:val="00FF4F6D"/>
    <w:rsid w:val="00FF5BB8"/>
    <w:rsid w:val="00FF6481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92EDA-81D6-42FE-BD7F-41EC1D50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25"/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20A8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F76473"/>
    <w:pPr>
      <w:keepNext/>
      <w:keepLines/>
      <w:numPr>
        <w:numId w:val="12"/>
      </w:numPr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34A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76E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7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7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7A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7A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7A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igurogtabelloverskrift">
    <w:name w:val="Figur og tabelloverskrift"/>
    <w:basedOn w:val="Normal"/>
    <w:link w:val="FigurogtabelloverskriftTegn"/>
    <w:qFormat/>
    <w:rsid w:val="00633C3E"/>
    <w:pPr>
      <w:spacing w:before="120" w:after="120" w:line="240" w:lineRule="auto"/>
    </w:pPr>
    <w:rPr>
      <w:rFonts w:ascii="Verdana" w:hAnsi="Verdana"/>
      <w:b/>
      <w:color w:val="5B9BD5" w:themeColor="accent1"/>
      <w:sz w:val="14"/>
    </w:rPr>
  </w:style>
  <w:style w:type="character" w:customStyle="1" w:styleId="FigurogtabelloverskriftTegn">
    <w:name w:val="Figur og tabelloverskrift Tegn"/>
    <w:basedOn w:val="Standardskriftforavsnitt"/>
    <w:link w:val="Figurogtabelloverskrift"/>
    <w:rsid w:val="00633C3E"/>
    <w:rPr>
      <w:rFonts w:ascii="Verdana" w:hAnsi="Verdana"/>
      <w:b/>
      <w:color w:val="5B9BD5" w:themeColor="accent1"/>
      <w:sz w:val="1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2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A20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2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64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34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1098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1098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F5C57"/>
    <w:pPr>
      <w:tabs>
        <w:tab w:val="left" w:pos="851"/>
        <w:tab w:val="right" w:leader="dot" w:pos="9062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10985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01098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A7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633C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85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igurliste">
    <w:name w:val="table of figures"/>
    <w:basedOn w:val="Normal"/>
    <w:next w:val="Normal"/>
    <w:uiPriority w:val="99"/>
    <w:semiHidden/>
    <w:unhideWhenUsed/>
    <w:rsid w:val="00633C3E"/>
    <w:pPr>
      <w:spacing w:after="0"/>
    </w:pPr>
    <w:rPr>
      <w:rFonts w:ascii="Verdana" w:hAnsi="Verdana"/>
      <w:color w:val="5B9BD5" w:themeColor="accent1"/>
      <w:sz w:val="1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8F4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7E5B0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E5B0B"/>
    <w:rPr>
      <w:rFonts w:ascii="Calibri Light" w:hAnsi="Calibri Light"/>
    </w:rPr>
  </w:style>
  <w:style w:type="character" w:styleId="Fulgthyperkobling">
    <w:name w:val="FollowedHyperlink"/>
    <w:basedOn w:val="Standardskriftforavsnitt"/>
    <w:uiPriority w:val="99"/>
    <w:semiHidden/>
    <w:unhideWhenUsed/>
    <w:rsid w:val="002E694A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B3F9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B3F94"/>
    <w:rPr>
      <w:rFonts w:ascii="Calibri Light" w:hAnsi="Calibri Light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B3F94"/>
    <w:rPr>
      <w:vertAlign w:val="superscript"/>
    </w:rPr>
  </w:style>
  <w:style w:type="paragraph" w:styleId="Ingenmellomrom">
    <w:name w:val="No Spacing"/>
    <w:uiPriority w:val="1"/>
    <w:qFormat/>
    <w:rsid w:val="0045326E"/>
    <w:pPr>
      <w:spacing w:after="0" w:line="240" w:lineRule="auto"/>
    </w:pPr>
    <w:rPr>
      <w:rFonts w:ascii="Calibri Light" w:hAnsi="Calibri Light"/>
    </w:rPr>
  </w:style>
  <w:style w:type="table" w:styleId="Lyslisteuthevingsfarge3">
    <w:name w:val="Light List Accent 3"/>
    <w:basedOn w:val="Vanligtabell"/>
    <w:uiPriority w:val="61"/>
    <w:rsid w:val="00047131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676E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407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7A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7A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F7A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F7A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F7A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56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56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56BE"/>
    <w:rPr>
      <w:rFonts w:ascii="Calibri Light" w:hAnsi="Calibri Light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56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56BE"/>
    <w:rPr>
      <w:rFonts w:ascii="Calibri Light" w:hAnsi="Calibri Light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E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65F4"/>
    <w:rPr>
      <w:rFonts w:ascii="Calibri Light" w:hAnsi="Calibri Light"/>
    </w:rPr>
  </w:style>
  <w:style w:type="paragraph" w:styleId="Bunntekst">
    <w:name w:val="footer"/>
    <w:basedOn w:val="Normal"/>
    <w:link w:val="BunntekstTegn"/>
    <w:uiPriority w:val="99"/>
    <w:unhideWhenUsed/>
    <w:rsid w:val="008E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65F4"/>
    <w:rPr>
      <w:rFonts w:ascii="Calibri Light" w:hAnsi="Calibri Light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E65F4"/>
    <w:pPr>
      <w:numPr>
        <w:ilvl w:val="1"/>
      </w:numPr>
      <w:spacing w:before="20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E65F4"/>
    <w:rPr>
      <w:rFonts w:ascii="Calibri Light" w:eastAsiaTheme="minorEastAsia" w:hAnsi="Calibri Light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3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8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05F6-BAF0-4185-BE60-A0562479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2845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Johansen</dc:creator>
  <cp:keywords/>
  <dc:description/>
  <cp:lastModifiedBy>Hege Johansen</cp:lastModifiedBy>
  <cp:revision>11</cp:revision>
  <cp:lastPrinted>2023-02-20T08:18:00Z</cp:lastPrinted>
  <dcterms:created xsi:type="dcterms:W3CDTF">2023-05-04T07:03:00Z</dcterms:created>
  <dcterms:modified xsi:type="dcterms:W3CDTF">2023-06-27T08:34:00Z</dcterms:modified>
</cp:coreProperties>
</file>